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724D" w14:textId="77777777" w:rsidR="00CD242A" w:rsidRPr="00B926A1" w:rsidRDefault="00CD242A" w:rsidP="00CD242A">
      <w:pPr>
        <w:pStyle w:val="Title"/>
        <w:spacing w:line="240" w:lineRule="auto"/>
        <w:rPr>
          <w:sz w:val="24"/>
          <w:szCs w:val="24"/>
        </w:rPr>
      </w:pPr>
    </w:p>
    <w:p w14:paraId="4D9BDFF2" w14:textId="77777777" w:rsidR="00CD242A" w:rsidRPr="00C459CC" w:rsidRDefault="00CD242A" w:rsidP="00CD242A">
      <w:pPr>
        <w:pStyle w:val="Title"/>
        <w:spacing w:line="240" w:lineRule="auto"/>
        <w:rPr>
          <w:bCs/>
          <w:sz w:val="24"/>
          <w:szCs w:val="24"/>
        </w:rPr>
      </w:pPr>
      <w:r w:rsidRPr="00C459CC">
        <w:rPr>
          <w:bCs/>
          <w:sz w:val="24"/>
          <w:szCs w:val="24"/>
        </w:rPr>
        <w:t>NOTĂ DE FUNDAMENTARE</w:t>
      </w:r>
    </w:p>
    <w:p w14:paraId="0663243D" w14:textId="77777777" w:rsidR="00B66071" w:rsidRPr="00C459CC" w:rsidRDefault="00B66071" w:rsidP="00B66071">
      <w:pPr>
        <w:pStyle w:val="Title"/>
        <w:spacing w:line="240" w:lineRule="auto"/>
        <w:rPr>
          <w:sz w:val="24"/>
          <w:szCs w:val="24"/>
        </w:rPr>
      </w:pPr>
    </w:p>
    <w:p w14:paraId="1CA3C7C8" w14:textId="77777777" w:rsidR="00983417" w:rsidRPr="00C459CC" w:rsidRDefault="00983417" w:rsidP="00B66071">
      <w:pPr>
        <w:pStyle w:val="Title"/>
        <w:spacing w:line="240" w:lineRule="auto"/>
        <w:rPr>
          <w:sz w:val="24"/>
          <w:szCs w:val="24"/>
        </w:rPr>
      </w:pPr>
    </w:p>
    <w:p w14:paraId="78C75447" w14:textId="27D209EC" w:rsidR="00223491" w:rsidRPr="00C459CC" w:rsidRDefault="00223491" w:rsidP="00B66071">
      <w:pPr>
        <w:pStyle w:val="Title"/>
        <w:spacing w:line="240" w:lineRule="auto"/>
        <w:ind w:firstLine="720"/>
        <w:jc w:val="left"/>
        <w:rPr>
          <w:sz w:val="24"/>
          <w:szCs w:val="24"/>
        </w:rPr>
      </w:pP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3"/>
        <w:gridCol w:w="1033"/>
        <w:gridCol w:w="1192"/>
        <w:gridCol w:w="1274"/>
        <w:gridCol w:w="1192"/>
        <w:gridCol w:w="1001"/>
        <w:gridCol w:w="1648"/>
        <w:gridCol w:w="20"/>
      </w:tblGrid>
      <w:tr w:rsidR="00520BE3" w:rsidRPr="00C459CC" w14:paraId="117C71DD" w14:textId="77777777" w:rsidTr="006C32FE">
        <w:trPr>
          <w:gridAfter w:val="1"/>
          <w:wAfter w:w="20" w:type="dxa"/>
        </w:trPr>
        <w:tc>
          <w:tcPr>
            <w:tcW w:w="9923" w:type="dxa"/>
            <w:gridSpan w:val="7"/>
          </w:tcPr>
          <w:p w14:paraId="3FD3638C" w14:textId="77777777" w:rsidR="00B66071" w:rsidRPr="00C459CC" w:rsidRDefault="00B66071" w:rsidP="00B66071">
            <w:pPr>
              <w:pStyle w:val="Title"/>
              <w:spacing w:line="240" w:lineRule="auto"/>
              <w:ind w:firstLine="34"/>
              <w:rPr>
                <w:i/>
                <w:sz w:val="24"/>
                <w:szCs w:val="24"/>
              </w:rPr>
            </w:pPr>
            <w:r w:rsidRPr="00C459CC">
              <w:rPr>
                <w:i/>
                <w:sz w:val="24"/>
                <w:szCs w:val="24"/>
              </w:rPr>
              <w:t>Secțiunea 1</w:t>
            </w:r>
          </w:p>
          <w:p w14:paraId="3AD68890" w14:textId="2A82A2FD" w:rsidR="00B66071" w:rsidRPr="00C459CC" w:rsidRDefault="00B66071" w:rsidP="00B66071">
            <w:pPr>
              <w:ind w:firstLine="34"/>
              <w:jc w:val="center"/>
              <w:rPr>
                <w:b/>
                <w:i/>
              </w:rPr>
            </w:pPr>
            <w:r w:rsidRPr="00C459CC">
              <w:rPr>
                <w:b/>
                <w:i/>
              </w:rPr>
              <w:t>Titlul act</w:t>
            </w:r>
            <w:r w:rsidR="00CD242A" w:rsidRPr="00C459CC">
              <w:rPr>
                <w:b/>
                <w:i/>
              </w:rPr>
              <w:t>ului</w:t>
            </w:r>
            <w:r w:rsidRPr="00C459CC">
              <w:rPr>
                <w:b/>
                <w:i/>
              </w:rPr>
              <w:t xml:space="preserve"> normativ</w:t>
            </w:r>
          </w:p>
          <w:p w14:paraId="0C6F930E" w14:textId="77777777" w:rsidR="00B66071" w:rsidRPr="00C459CC" w:rsidRDefault="00B66071" w:rsidP="00B66071">
            <w:pPr>
              <w:ind w:firstLine="34"/>
              <w:jc w:val="center"/>
              <w:rPr>
                <w:b/>
                <w:lang w:eastAsia="ro-RO"/>
              </w:rPr>
            </w:pPr>
          </w:p>
          <w:p w14:paraId="5DB3F731" w14:textId="77777777" w:rsidR="00197AD8" w:rsidRPr="00C459CC" w:rsidRDefault="00197AD8" w:rsidP="00197AD8">
            <w:pPr>
              <w:jc w:val="center"/>
              <w:rPr>
                <w:b/>
                <w:lang w:eastAsia="ro-RO"/>
              </w:rPr>
            </w:pPr>
            <w:r w:rsidRPr="00C459CC">
              <w:rPr>
                <w:b/>
                <w:lang w:eastAsia="ro-RO"/>
              </w:rPr>
              <w:t xml:space="preserve">ORDONANȚĂ DE URGENȚĂ </w:t>
            </w:r>
          </w:p>
          <w:p w14:paraId="5C1EFE06" w14:textId="765D1E7F" w:rsidR="00197AD8" w:rsidRPr="00C459CC" w:rsidRDefault="00197AD8" w:rsidP="00197AD8">
            <w:pPr>
              <w:jc w:val="center"/>
              <w:rPr>
                <w:b/>
                <w:lang w:eastAsia="ro-RO"/>
              </w:rPr>
            </w:pPr>
            <w:r w:rsidRPr="00C459CC">
              <w:rPr>
                <w:b/>
                <w:lang w:eastAsia="ro-RO"/>
              </w:rPr>
              <w:t>privind unele măsuri pentru proiectele de infrastructură de apă şi apă uzată finanţate din fonduri europene şi pentru modificarea unor acte normative</w:t>
            </w:r>
          </w:p>
          <w:p w14:paraId="338F09EC" w14:textId="6D1E8B42" w:rsidR="00670C79" w:rsidRPr="00C459CC" w:rsidRDefault="00670C79" w:rsidP="00D802AE">
            <w:pPr>
              <w:jc w:val="center"/>
              <w:rPr>
                <w:b/>
                <w:lang w:eastAsia="ro-RO"/>
              </w:rPr>
            </w:pPr>
          </w:p>
        </w:tc>
      </w:tr>
      <w:tr w:rsidR="00B66071" w:rsidRPr="00C459CC" w14:paraId="7E6301E1" w14:textId="77777777" w:rsidTr="006C32FE">
        <w:trPr>
          <w:gridAfter w:val="1"/>
          <w:wAfter w:w="20" w:type="dxa"/>
        </w:trPr>
        <w:tc>
          <w:tcPr>
            <w:tcW w:w="9923" w:type="dxa"/>
            <w:gridSpan w:val="7"/>
          </w:tcPr>
          <w:p w14:paraId="02FB7A31" w14:textId="77777777" w:rsidR="00B66071" w:rsidRPr="00C459CC" w:rsidRDefault="00B66071" w:rsidP="00B66071">
            <w:pPr>
              <w:ind w:firstLine="34"/>
              <w:jc w:val="center"/>
              <w:rPr>
                <w:b/>
                <w:i/>
                <w:lang w:eastAsia="ro-RO"/>
              </w:rPr>
            </w:pPr>
          </w:p>
          <w:p w14:paraId="3F77E6A0" w14:textId="6202CBED" w:rsidR="00B66071" w:rsidRPr="00C459CC" w:rsidRDefault="00B66071" w:rsidP="00B66071">
            <w:pPr>
              <w:ind w:firstLine="34"/>
              <w:jc w:val="center"/>
              <w:rPr>
                <w:b/>
                <w:i/>
                <w:lang w:eastAsia="ro-RO"/>
              </w:rPr>
            </w:pPr>
            <w:r w:rsidRPr="00C459CC">
              <w:rPr>
                <w:b/>
                <w:i/>
                <w:lang w:eastAsia="ro-RO"/>
              </w:rPr>
              <w:t>Secțiunea a 2-a</w:t>
            </w:r>
          </w:p>
          <w:p w14:paraId="048B5783" w14:textId="77777777" w:rsidR="00B66071" w:rsidRPr="00C459CC" w:rsidRDefault="00B66071" w:rsidP="00B66071">
            <w:pPr>
              <w:ind w:firstLine="34"/>
              <w:jc w:val="center"/>
              <w:rPr>
                <w:b/>
                <w:i/>
                <w:lang w:eastAsia="ro-RO"/>
              </w:rPr>
            </w:pPr>
            <w:r w:rsidRPr="00C459CC">
              <w:rPr>
                <w:b/>
                <w:i/>
                <w:lang w:eastAsia="ro-RO"/>
              </w:rPr>
              <w:t>Motivul emiterii actului normativ</w:t>
            </w:r>
          </w:p>
          <w:p w14:paraId="4F43FD8E" w14:textId="75D7712C" w:rsidR="00B66071" w:rsidRPr="00C459CC" w:rsidRDefault="00B66071" w:rsidP="00B66071">
            <w:pPr>
              <w:ind w:firstLine="34"/>
              <w:jc w:val="center"/>
              <w:rPr>
                <w:b/>
                <w:lang w:eastAsia="ro-RO"/>
              </w:rPr>
            </w:pPr>
          </w:p>
        </w:tc>
      </w:tr>
      <w:tr w:rsidR="00223491" w:rsidRPr="00C459CC" w14:paraId="47D7FD1D" w14:textId="77777777" w:rsidTr="006C32FE">
        <w:trPr>
          <w:gridAfter w:val="1"/>
          <w:wAfter w:w="20" w:type="dxa"/>
          <w:trHeight w:val="841"/>
        </w:trPr>
        <w:tc>
          <w:tcPr>
            <w:tcW w:w="9923" w:type="dxa"/>
            <w:gridSpan w:val="7"/>
          </w:tcPr>
          <w:p w14:paraId="3C3F9D9E" w14:textId="0790FB17" w:rsidR="00034C5B" w:rsidRPr="00C459CC" w:rsidRDefault="00034C5B" w:rsidP="00B926A1">
            <w:pPr>
              <w:autoSpaceDE w:val="0"/>
              <w:autoSpaceDN w:val="0"/>
              <w:adjustRightInd w:val="0"/>
              <w:jc w:val="both"/>
              <w:rPr>
                <w:lang w:eastAsia="ro-RO"/>
              </w:rPr>
            </w:pPr>
          </w:p>
          <w:p w14:paraId="15611F4A" w14:textId="3EF44674" w:rsidR="00DB7938" w:rsidRPr="00C459CC" w:rsidRDefault="003F4430" w:rsidP="00B926A1">
            <w:pPr>
              <w:autoSpaceDE w:val="0"/>
              <w:autoSpaceDN w:val="0"/>
              <w:adjustRightInd w:val="0"/>
              <w:jc w:val="both"/>
              <w:rPr>
                <w:lang w:eastAsia="ro-RO"/>
              </w:rPr>
            </w:pPr>
            <w:r w:rsidRPr="00C459CC">
              <w:rPr>
                <w:lang w:eastAsia="ro-RO"/>
              </w:rPr>
              <w:t>2.1 Sursa proiectului de act normativ</w:t>
            </w:r>
          </w:p>
          <w:p w14:paraId="181918A1" w14:textId="22D42F1F" w:rsidR="00733688" w:rsidRPr="00C459CC" w:rsidRDefault="00DE0B13" w:rsidP="00B66071">
            <w:pPr>
              <w:autoSpaceDE w:val="0"/>
              <w:autoSpaceDN w:val="0"/>
              <w:adjustRightInd w:val="0"/>
              <w:ind w:firstLine="459"/>
              <w:jc w:val="both"/>
              <w:rPr>
                <w:lang w:eastAsia="ro-RO"/>
              </w:rPr>
            </w:pPr>
            <w:r w:rsidRPr="00C459CC">
              <w:rPr>
                <w:lang w:eastAsia="ro-RO"/>
              </w:rPr>
              <w:t>Ministerul Investițiilor și Proiectelor Europene</w:t>
            </w:r>
            <w:r w:rsidR="00EF45F3" w:rsidRPr="00C459CC">
              <w:rPr>
                <w:lang w:eastAsia="ro-RO"/>
              </w:rPr>
              <w:t xml:space="preserve"> </w:t>
            </w:r>
            <w:r w:rsidR="00902751" w:rsidRPr="00C459CC">
              <w:rPr>
                <w:lang w:eastAsia="ro-RO"/>
              </w:rPr>
              <w:t>exercită</w:t>
            </w:r>
            <w:r w:rsidRPr="00C459CC">
              <w:rPr>
                <w:lang w:eastAsia="ro-RO"/>
              </w:rPr>
              <w:t xml:space="preserve"> calitate</w:t>
            </w:r>
            <w:r w:rsidR="005429EF" w:rsidRPr="00C459CC">
              <w:rPr>
                <w:lang w:eastAsia="ro-RO"/>
              </w:rPr>
              <w:t>a</w:t>
            </w:r>
            <w:r w:rsidRPr="00C459CC">
              <w:rPr>
                <w:lang w:eastAsia="ro-RO"/>
              </w:rPr>
              <w:t xml:space="preserve"> de autoritate management</w:t>
            </w:r>
            <w:r w:rsidR="00C85E1E" w:rsidRPr="00C459CC">
              <w:rPr>
                <w:lang w:eastAsia="ro-RO"/>
              </w:rPr>
              <w:t xml:space="preserve"> </w:t>
            </w:r>
            <w:r w:rsidRPr="00C459CC">
              <w:rPr>
                <w:lang w:eastAsia="ro-RO"/>
              </w:rPr>
              <w:t xml:space="preserve">pentru </w:t>
            </w:r>
            <w:r w:rsidR="00D07BCA" w:rsidRPr="00C459CC">
              <w:rPr>
                <w:lang w:eastAsia="ro-RO"/>
              </w:rPr>
              <w:t>gestionarea și coordonarea</w:t>
            </w:r>
            <w:r w:rsidRPr="00C459CC">
              <w:rPr>
                <w:lang w:eastAsia="ro-RO"/>
              </w:rPr>
              <w:t xml:space="preserve"> fondurilor externe </w:t>
            </w:r>
            <w:r w:rsidR="00DB7938" w:rsidRPr="00C459CC">
              <w:rPr>
                <w:lang w:eastAsia="ro-RO"/>
              </w:rPr>
              <w:t>n</w:t>
            </w:r>
            <w:r w:rsidR="00D76B56" w:rsidRPr="00C459CC">
              <w:rPr>
                <w:lang w:eastAsia="ro-RO"/>
              </w:rPr>
              <w:t>erambursabile alocate României pentru sectorul de apă şi apă uzată.</w:t>
            </w:r>
          </w:p>
          <w:p w14:paraId="12B198E3" w14:textId="2A2CE5C9" w:rsidR="00DB7938" w:rsidRPr="00C459CC" w:rsidRDefault="00DB7938" w:rsidP="00DB7938">
            <w:pPr>
              <w:autoSpaceDE w:val="0"/>
              <w:autoSpaceDN w:val="0"/>
              <w:adjustRightInd w:val="0"/>
              <w:ind w:firstLine="459"/>
              <w:jc w:val="both"/>
              <w:rPr>
                <w:lang w:eastAsia="ro-RO"/>
              </w:rPr>
            </w:pPr>
            <w:r w:rsidRPr="00C459CC">
              <w:rPr>
                <w:lang w:eastAsia="ro-RO"/>
              </w:rPr>
              <w:t xml:space="preserve">Într-un stadiu avansat de pregătire se afla </w:t>
            </w:r>
            <w:r w:rsidR="00925D85" w:rsidRPr="00C459CC">
              <w:rPr>
                <w:lang w:eastAsia="ro-RO"/>
              </w:rPr>
              <w:t xml:space="preserve">cel puţin </w:t>
            </w:r>
            <w:r w:rsidRPr="00C459CC">
              <w:rPr>
                <w:lang w:eastAsia="ro-RO"/>
              </w:rPr>
              <w:t xml:space="preserve">8 proiecte regionale de infrastructură de apă şi apă uzată, în valoare de </w:t>
            </w:r>
            <w:r w:rsidR="00D11A8B" w:rsidRPr="00C459CC">
              <w:rPr>
                <w:lang w:eastAsia="ro-RO"/>
              </w:rPr>
              <w:t>2.228</w:t>
            </w:r>
            <w:r w:rsidRPr="00C459CC">
              <w:rPr>
                <w:lang w:eastAsia="ro-RO"/>
              </w:rPr>
              <w:t xml:space="preserve"> milioane euro- contribuţie EU, respectiv pentru judeţele Teleorman, Maramureş, </w:t>
            </w:r>
            <w:r w:rsidR="00D11A8B" w:rsidRPr="00C459CC">
              <w:rPr>
                <w:lang w:eastAsia="ro-RO"/>
              </w:rPr>
              <w:t>Prahova, Harghita, Giurgiu, Hunedoara, Caraş- Severin şi Neamţ</w:t>
            </w:r>
            <w:r w:rsidR="00925D85" w:rsidRPr="00C459CC">
              <w:rPr>
                <w:lang w:eastAsia="ro-RO"/>
              </w:rPr>
              <w:t>.</w:t>
            </w:r>
          </w:p>
          <w:p w14:paraId="026B7DA2" w14:textId="19F5EC0F" w:rsidR="005429EF" w:rsidRPr="00C459CC" w:rsidRDefault="00925D85" w:rsidP="00B66071">
            <w:pPr>
              <w:autoSpaceDE w:val="0"/>
              <w:autoSpaceDN w:val="0"/>
              <w:adjustRightInd w:val="0"/>
              <w:ind w:firstLine="459"/>
              <w:jc w:val="both"/>
              <w:rPr>
                <w:lang w:eastAsia="ro-RO"/>
              </w:rPr>
            </w:pPr>
            <w:r w:rsidRPr="00C459CC">
              <w:rPr>
                <w:lang w:eastAsia="ro-RO"/>
              </w:rPr>
              <w:t>Luând în considerare faptul că, proiectele în pregătire au prevăzută finanţarea pentru perioada 2021- 2027 şi până la acest moment Acordul de parteneriat nu este incă semnat, se impune reglementarea unor măsuri tranzitorii care să permită derularea investiţiilor de către Operatorii Regionali (OR) fără sincope.</w:t>
            </w:r>
          </w:p>
          <w:p w14:paraId="36469CCF" w14:textId="1747960D" w:rsidR="00925D85" w:rsidRPr="00C459CC" w:rsidRDefault="00925D85" w:rsidP="00B66071">
            <w:pPr>
              <w:autoSpaceDE w:val="0"/>
              <w:autoSpaceDN w:val="0"/>
              <w:adjustRightInd w:val="0"/>
              <w:ind w:firstLine="459"/>
              <w:jc w:val="both"/>
              <w:rPr>
                <w:lang w:eastAsia="ro-RO"/>
              </w:rPr>
            </w:pPr>
            <w:r w:rsidRPr="00C459CC">
              <w:rPr>
                <w:lang w:eastAsia="ro-RO"/>
              </w:rPr>
              <w:t>Este de remarcat faptul că</w:t>
            </w:r>
            <w:r w:rsidR="00CA1E96" w:rsidRPr="00C459CC">
              <w:rPr>
                <w:lang w:eastAsia="ro-RO"/>
              </w:rPr>
              <w:t>,</w:t>
            </w:r>
            <w:r w:rsidRPr="00C459CC">
              <w:rPr>
                <w:lang w:eastAsia="ro-RO"/>
              </w:rPr>
              <w:t xml:space="preserve"> fondurile proprii disponibile la nivelul OR sunt insuficiente pentru angajarea vreunui proces de achiziţie publică.</w:t>
            </w:r>
          </w:p>
          <w:p w14:paraId="77E5AFBD" w14:textId="5EB7B7FE" w:rsidR="00925D85" w:rsidRPr="00C459CC" w:rsidRDefault="00925D85" w:rsidP="00B66071">
            <w:pPr>
              <w:autoSpaceDE w:val="0"/>
              <w:autoSpaceDN w:val="0"/>
              <w:adjustRightInd w:val="0"/>
              <w:ind w:firstLine="459"/>
              <w:jc w:val="both"/>
              <w:rPr>
                <w:lang w:eastAsia="ro-RO"/>
              </w:rPr>
            </w:pPr>
            <w:r w:rsidRPr="00C459CC">
              <w:rPr>
                <w:lang w:eastAsia="ro-RO"/>
              </w:rPr>
              <w:t>Semnalăm că, în cadrul proiectelor de infrastructură de apă şi apă uzata, media unui proces de achiziţie publică  aferent unui contract de lucrări este de aproximativ 200 zile.</w:t>
            </w:r>
          </w:p>
          <w:p w14:paraId="17474483" w14:textId="03970576" w:rsidR="00414091" w:rsidRPr="00C459CC" w:rsidRDefault="00DE0B13" w:rsidP="00925D85">
            <w:pPr>
              <w:autoSpaceDE w:val="0"/>
              <w:autoSpaceDN w:val="0"/>
              <w:adjustRightInd w:val="0"/>
              <w:ind w:firstLine="459"/>
              <w:jc w:val="both"/>
              <w:rPr>
                <w:lang w:eastAsia="ro-RO"/>
              </w:rPr>
            </w:pPr>
            <w:r w:rsidRPr="00C459CC">
              <w:rPr>
                <w:lang w:eastAsia="ro-RO"/>
              </w:rPr>
              <w:t xml:space="preserve">În acest context, se impune reglementarea unor </w:t>
            </w:r>
            <w:r w:rsidR="00B204B2" w:rsidRPr="00C459CC">
              <w:rPr>
                <w:lang w:eastAsia="ro-RO"/>
              </w:rPr>
              <w:t>dispoziţii</w:t>
            </w:r>
            <w:r w:rsidRPr="00C459CC">
              <w:rPr>
                <w:lang w:eastAsia="ro-RO"/>
              </w:rPr>
              <w:t xml:space="preserve"> legale pentru soluționarea situației identificate</w:t>
            </w:r>
            <w:r w:rsidR="005B6E0F" w:rsidRPr="00C459CC">
              <w:rPr>
                <w:lang w:eastAsia="ro-RO"/>
              </w:rPr>
              <w:t xml:space="preserve">, </w:t>
            </w:r>
            <w:r w:rsidR="00CA1E96" w:rsidRPr="00C459CC">
              <w:rPr>
                <w:lang w:eastAsia="ro-RO"/>
              </w:rPr>
              <w:t>care să permită OR demararea activităţii de contractare în vederea realizării obiectivului principal al acestor proiecte şi anume, conformarea privind calitatea apei destinate consumului uman şi al epurării apelor uzate.</w:t>
            </w:r>
          </w:p>
          <w:p w14:paraId="02B7F74C" w14:textId="262372F9" w:rsidR="002E1F19" w:rsidRPr="00C459CC" w:rsidRDefault="002E1F19" w:rsidP="002E1F19">
            <w:pPr>
              <w:autoSpaceDE w:val="0"/>
              <w:autoSpaceDN w:val="0"/>
              <w:adjustRightInd w:val="0"/>
              <w:ind w:firstLine="459"/>
              <w:jc w:val="both"/>
              <w:rPr>
                <w:lang w:eastAsia="ro-RO"/>
              </w:rPr>
            </w:pPr>
            <w:r w:rsidRPr="00C459CC">
              <w:rPr>
                <w:lang w:eastAsia="ro-RO"/>
              </w:rPr>
              <w:t>De asemenea, declanșarea crizei pe piața construcțiilor are un caracter imprevizibil și este considerat cauză care nu depinde de acțiunea părților contractuale, dar care afectează în mod semnificativ implementarea proiectelor de infrastructură, dar și a celor de furnizare echipamente, consecința fiind blocarea implementării proiectelor și afectarea serioasă a indicatorilor pentru programe operaționale/naționale finanțate din fonduri, domeniul Afaceri interne, denumite în continuare programe naționale, pe care România le are de îndeplinit în cadrul politicii de coeziune 2014-2020 sau alte politici europene relevante. Creșterile de costuri în domeniu conduc la necesitatea ajustării bugetelor aprobate în cadrul proiectelor de infrastructură finanțate din fonduri europene încă de la momentul demarării proceselor de achiziție publică.</w:t>
            </w:r>
          </w:p>
          <w:p w14:paraId="487B6B85" w14:textId="7713184A" w:rsidR="00EC6C98" w:rsidRPr="00C459CC" w:rsidRDefault="002E1F19" w:rsidP="002E1F19">
            <w:pPr>
              <w:autoSpaceDE w:val="0"/>
              <w:autoSpaceDN w:val="0"/>
              <w:adjustRightInd w:val="0"/>
              <w:ind w:firstLine="459"/>
              <w:jc w:val="both"/>
              <w:rPr>
                <w:lang w:eastAsia="ro-RO"/>
              </w:rPr>
            </w:pPr>
            <w:r w:rsidRPr="00C459CC">
              <w:rPr>
                <w:lang w:eastAsia="ro-RO"/>
              </w:rPr>
              <w:t>Problemele majore semnalate în implementarea proiectelor de infrastructură din sectorul transporturi și apă și apă uzată determinate, în principal, de</w:t>
            </w:r>
            <w:r w:rsidR="00D11A8B" w:rsidRPr="00C459CC">
              <w:rPr>
                <w:lang w:eastAsia="ro-RO"/>
              </w:rPr>
              <w:t xml:space="preserve"> lipsa de corelare între elaborare</w:t>
            </w:r>
            <w:r w:rsidRPr="00C459CC">
              <w:rPr>
                <w:lang w:eastAsia="ro-RO"/>
              </w:rPr>
              <w:t>/aprobare/ executare proiecte de reabilitare drumuri și aprobare/ executare proiectelor din sectorul de apă și apă uzată.</w:t>
            </w:r>
          </w:p>
          <w:p w14:paraId="55FBECCC" w14:textId="283F324A" w:rsidR="00916FBD" w:rsidRPr="00C459CC" w:rsidRDefault="00916FBD" w:rsidP="002E1F19">
            <w:pPr>
              <w:autoSpaceDE w:val="0"/>
              <w:autoSpaceDN w:val="0"/>
              <w:adjustRightInd w:val="0"/>
              <w:ind w:firstLine="459"/>
              <w:jc w:val="both"/>
              <w:rPr>
                <w:lang w:eastAsia="ro-RO"/>
              </w:rPr>
            </w:pPr>
            <w:r w:rsidRPr="00C459CC">
              <w:rPr>
                <w:lang w:eastAsia="ro-RO"/>
              </w:rPr>
              <w:t xml:space="preserve">Totodată, pentru a asigura compatibilitatea cu reglementările în domeniul ajutorului de stat în baza Comunicării Comisiei Europene – Modificare a Cadrului temporar pentru măsuri de ajutor de stat de sprijinire a economiei în contextul actualei epidemii de COVID-19 (2020/C 112 I/01), publicată </w:t>
            </w:r>
            <w:r w:rsidRPr="00C459CC">
              <w:rPr>
                <w:lang w:eastAsia="ro-RO"/>
              </w:rPr>
              <w:lastRenderedPageBreak/>
              <w:t>în Jurnalul Oficial al Uniunii Europene, seria C, nr. 1211 din 4 aprilie 2020, cu modificările şi completările ulterioare, secțiunea 3.13 din Cadrul Temporar Covid 19 – Sprijin pentru investiții în vederea unei redresări durabile, se impune armonizarea unor prevederi din cadrul Ordonanței de urgență a Guvernului nr. 82/2022 privind unele măsuri pentru acordarea de granturi din fonduri externe nerambursabile pentru investiții destinate capacităților de prestare de servicii și retehnologizării, în vederea refacerii capacității de reziliență.</w:t>
            </w:r>
          </w:p>
          <w:p w14:paraId="6E8891CC" w14:textId="77777777" w:rsidR="00D559BA" w:rsidRPr="00C459CC" w:rsidRDefault="00D559BA" w:rsidP="002E1F19">
            <w:pPr>
              <w:autoSpaceDE w:val="0"/>
              <w:autoSpaceDN w:val="0"/>
              <w:adjustRightInd w:val="0"/>
              <w:ind w:firstLine="459"/>
              <w:jc w:val="both"/>
              <w:rPr>
                <w:lang w:eastAsia="ro-RO"/>
              </w:rPr>
            </w:pPr>
          </w:p>
          <w:p w14:paraId="27C618B8" w14:textId="3D510FB1" w:rsidR="00002013" w:rsidRPr="00C459CC" w:rsidRDefault="00002013" w:rsidP="002E1F19">
            <w:pPr>
              <w:autoSpaceDE w:val="0"/>
              <w:autoSpaceDN w:val="0"/>
              <w:adjustRightInd w:val="0"/>
              <w:ind w:firstLine="459"/>
              <w:jc w:val="both"/>
              <w:rPr>
                <w:lang w:eastAsia="ro-RO"/>
              </w:rPr>
            </w:pPr>
            <w:r w:rsidRPr="00C459CC">
              <w:rPr>
                <w:lang w:eastAsia="ro-RO"/>
              </w:rPr>
              <w:t>Pe de altă parte, din aplicarea Ordonanţei de urgenţă a Guvernului nr. 156 / 2020 privind unele măsuri pentru susţinerea dezvoltării teritoriale a localităţilor urbane şi rurale din România cu finanţare din fonduri externe nerambursabile şi a</w:t>
            </w:r>
            <w:r w:rsidRPr="00C459CC">
              <w:t xml:space="preserve"> </w:t>
            </w:r>
            <w:r w:rsidRPr="00C459CC">
              <w:rPr>
                <w:lang w:eastAsia="ro-RO"/>
              </w:rPr>
              <w:t>Ordonanţei de urgenţă a Guvernului nr. 40/ 2015 privind gestionarea financiară a fondurilor europene pentru perioada de programare 2014-2020 a rezultat necesitatea introducerii unor completări sau modificări</w:t>
            </w:r>
            <w:r w:rsidR="00B02B56" w:rsidRPr="00C459CC">
              <w:rPr>
                <w:lang w:eastAsia="ro-RO"/>
              </w:rPr>
              <w:t>.</w:t>
            </w:r>
          </w:p>
          <w:p w14:paraId="70C476F1" w14:textId="77777777" w:rsidR="00002013" w:rsidRPr="00C459CC" w:rsidRDefault="00002013" w:rsidP="002E1F19">
            <w:pPr>
              <w:autoSpaceDE w:val="0"/>
              <w:autoSpaceDN w:val="0"/>
              <w:adjustRightInd w:val="0"/>
              <w:ind w:firstLine="459"/>
              <w:jc w:val="both"/>
              <w:rPr>
                <w:lang w:eastAsia="ro-RO"/>
              </w:rPr>
            </w:pPr>
          </w:p>
          <w:p w14:paraId="7EAF53F8" w14:textId="77777777" w:rsidR="00D11A8B" w:rsidRPr="00C459CC" w:rsidRDefault="00D11A8B" w:rsidP="002E1F19">
            <w:pPr>
              <w:autoSpaceDE w:val="0"/>
              <w:autoSpaceDN w:val="0"/>
              <w:adjustRightInd w:val="0"/>
              <w:ind w:firstLine="459"/>
              <w:jc w:val="both"/>
              <w:rPr>
                <w:lang w:eastAsia="ro-RO"/>
              </w:rPr>
            </w:pPr>
          </w:p>
          <w:p w14:paraId="777690A7" w14:textId="77777777" w:rsidR="00223491" w:rsidRPr="00C459CC" w:rsidRDefault="00223491" w:rsidP="00B66071">
            <w:pPr>
              <w:autoSpaceDE w:val="0"/>
              <w:autoSpaceDN w:val="0"/>
              <w:adjustRightInd w:val="0"/>
              <w:ind w:firstLine="459"/>
              <w:jc w:val="both"/>
              <w:rPr>
                <w:lang w:eastAsia="ro-RO"/>
              </w:rPr>
            </w:pPr>
            <w:r w:rsidRPr="00C459CC">
              <w:rPr>
                <w:lang w:eastAsia="ro-RO"/>
              </w:rPr>
              <w:t>2.2 Descrierea situației actuale</w:t>
            </w:r>
          </w:p>
          <w:p w14:paraId="7C2C8983" w14:textId="3FEE4959" w:rsidR="00EC6C98" w:rsidRPr="00C459CC" w:rsidRDefault="00EC6C98" w:rsidP="00EC6C98">
            <w:pPr>
              <w:autoSpaceDE w:val="0"/>
              <w:autoSpaceDN w:val="0"/>
              <w:adjustRightInd w:val="0"/>
              <w:ind w:firstLine="459"/>
              <w:jc w:val="both"/>
              <w:rPr>
                <w:lang w:eastAsia="ro-RO"/>
              </w:rPr>
            </w:pPr>
            <w:r w:rsidRPr="00C459CC">
              <w:rPr>
                <w:lang w:eastAsia="ro-RO"/>
              </w:rPr>
              <w:t>Prin Tratatul de Aderare la Uniunea Europeană, România s-a angajat să asigure conformarea cu Directiva 98/83/CE privind calitatea apei destinate consumului uman, respectiv cu Directiva 91/271/CEE privind epurarea apelor uzate.</w:t>
            </w:r>
          </w:p>
          <w:p w14:paraId="53A4655E" w14:textId="77777777" w:rsidR="00EC6C98" w:rsidRPr="00C459CC" w:rsidRDefault="00EC6C98" w:rsidP="00EC6C98">
            <w:pPr>
              <w:autoSpaceDE w:val="0"/>
              <w:autoSpaceDN w:val="0"/>
              <w:adjustRightInd w:val="0"/>
              <w:ind w:firstLine="459"/>
              <w:jc w:val="both"/>
              <w:rPr>
                <w:lang w:eastAsia="ro-RO"/>
              </w:rPr>
            </w:pPr>
            <w:r w:rsidRPr="00C459CC">
              <w:rPr>
                <w:lang w:eastAsia="ro-RO"/>
              </w:rPr>
              <w:t>În acest scop, prin POIM sunt alocate 2,224,274,969.00 euro pentru continuarea acţiunilor integrate de dezvoltare a sistemelor de apă şi apă uzată, ce vor contribui la obiectivul global de asigurare a colectării şi epurării integrale a apelor uzate și alimentare cu apă a populației.</w:t>
            </w:r>
          </w:p>
          <w:p w14:paraId="76B19FAD" w14:textId="64D1ADE0" w:rsidR="00CA1E96" w:rsidRPr="00C459CC" w:rsidRDefault="00EC6C98" w:rsidP="00EC6C98">
            <w:pPr>
              <w:autoSpaceDE w:val="0"/>
              <w:autoSpaceDN w:val="0"/>
              <w:adjustRightInd w:val="0"/>
              <w:ind w:firstLine="459"/>
              <w:jc w:val="both"/>
              <w:rPr>
                <w:lang w:eastAsia="ro-RO"/>
              </w:rPr>
            </w:pPr>
            <w:r w:rsidRPr="00C459CC">
              <w:rPr>
                <w:lang w:eastAsia="ro-RO"/>
              </w:rPr>
              <w:t>Până în prezent, în cadrul Axei Prioritare 3, OS 3.2, au fost semnate 55 contracte de finanțare aferente proiectelor de infrastructură în valoare totală de 5,386,113,931.86 euro- contribuţie EU, din care 29 reprezintă proiecte fazate, finanțate şi prin Programul Operațional Sectorial Mediu 2007-2013, în valoare de 686,985,356.9 euro- contribuţie EU și 26 reprezintă proiecte regionale, aprobate în perioada de programare 2014-2020, în valoare de 4,699,128,575 euro- contribuţie EU.</w:t>
            </w:r>
          </w:p>
          <w:p w14:paraId="41D8A402" w14:textId="23D578BA" w:rsidR="00EC6C98" w:rsidRPr="00C459CC" w:rsidRDefault="00EC6C98" w:rsidP="00EC6C98">
            <w:pPr>
              <w:autoSpaceDE w:val="0"/>
              <w:autoSpaceDN w:val="0"/>
              <w:adjustRightInd w:val="0"/>
              <w:ind w:firstLine="459"/>
              <w:jc w:val="both"/>
              <w:rPr>
                <w:lang w:eastAsia="ro-RO"/>
              </w:rPr>
            </w:pPr>
            <w:r w:rsidRPr="00C459CC">
              <w:rPr>
                <w:lang w:eastAsia="ro-RO"/>
              </w:rPr>
              <w:t>Având în vedere gradul de maturitate a cel puţin 8 proiecte</w:t>
            </w:r>
            <w:r w:rsidR="00B204B2" w:rsidRPr="00C459CC">
              <w:rPr>
                <w:lang w:eastAsia="ro-RO"/>
              </w:rPr>
              <w:t xml:space="preserve"> regionale</w:t>
            </w:r>
            <w:r w:rsidRPr="00C459CC">
              <w:rPr>
                <w:lang w:eastAsia="ro-RO"/>
              </w:rPr>
              <w:t xml:space="preserve">, în valoare de </w:t>
            </w:r>
            <w:r w:rsidR="00F713F8" w:rsidRPr="00C459CC">
              <w:rPr>
                <w:lang w:eastAsia="ro-RO"/>
              </w:rPr>
              <w:t>2,2</w:t>
            </w:r>
            <w:r w:rsidRPr="00C459CC">
              <w:rPr>
                <w:lang w:eastAsia="ro-RO"/>
              </w:rPr>
              <w:t xml:space="preserve"> mld euro</w:t>
            </w:r>
            <w:r w:rsidR="00B204B2" w:rsidRPr="00C459CC">
              <w:rPr>
                <w:lang w:eastAsia="ro-RO"/>
              </w:rPr>
              <w:t>, şi imposibilitataea OR de a asigura sursa de finanţare pentru demararea proceselor de achiziţie, se impune introducerea unor măsuri temporare în domeniul fondurilor europene care să permită iniţierea demersurilor în domeniul achizi</w:t>
            </w:r>
            <w:r w:rsidR="00C417E1" w:rsidRPr="00C459CC">
              <w:rPr>
                <w:lang w:eastAsia="ro-RO"/>
              </w:rPr>
              <w:t xml:space="preserve">ţiilor </w:t>
            </w:r>
            <w:r w:rsidR="00F713F8" w:rsidRPr="00C459CC">
              <w:rPr>
                <w:lang w:eastAsia="ro-RO"/>
              </w:rPr>
              <w:t>sectoriale</w:t>
            </w:r>
            <w:r w:rsidR="00C417E1" w:rsidRPr="00C459CC">
              <w:rPr>
                <w:lang w:eastAsia="ro-RO"/>
              </w:rPr>
              <w:t xml:space="preserve">, până la aprobarea Programului </w:t>
            </w:r>
            <w:r w:rsidR="00F713F8" w:rsidRPr="00C459CC">
              <w:rPr>
                <w:lang w:eastAsia="ro-RO"/>
              </w:rPr>
              <w:t>O</w:t>
            </w:r>
            <w:r w:rsidR="00C417E1" w:rsidRPr="00C459CC">
              <w:rPr>
                <w:lang w:eastAsia="ro-RO"/>
              </w:rPr>
              <w:t>peraţional Dezvoltare Durabilă</w:t>
            </w:r>
            <w:r w:rsidR="00364EE7" w:rsidRPr="00C459CC">
              <w:rPr>
                <w:lang w:eastAsia="ro-RO"/>
              </w:rPr>
              <w:t xml:space="preserve"> (PODD)</w:t>
            </w:r>
            <w:r w:rsidR="00C417E1" w:rsidRPr="00C459CC">
              <w:rPr>
                <w:lang w:eastAsia="ro-RO"/>
              </w:rPr>
              <w:t>.</w:t>
            </w:r>
          </w:p>
          <w:p w14:paraId="42AE5BAA" w14:textId="4F853C6E" w:rsidR="00D559BA" w:rsidRPr="00C459CC" w:rsidRDefault="00D559BA" w:rsidP="00EC6C98">
            <w:pPr>
              <w:autoSpaceDE w:val="0"/>
              <w:autoSpaceDN w:val="0"/>
              <w:adjustRightInd w:val="0"/>
              <w:ind w:firstLine="459"/>
              <w:jc w:val="both"/>
              <w:rPr>
                <w:lang w:eastAsia="ro-RO"/>
              </w:rPr>
            </w:pPr>
            <w:r w:rsidRPr="00C459CC">
              <w:rPr>
                <w:lang w:eastAsia="ro-RO"/>
              </w:rPr>
              <w:t>Avȃnd în vedere riscul major al rezilierii unor contracte de lucrări cauzat de situaţia economică existentă, se impune reglementarea la nivel de ordonanţă de urgenţă a dispoziţiilor Ordinului</w:t>
            </w:r>
            <w:r w:rsidRPr="00C459CC">
              <w:t xml:space="preserve"> </w:t>
            </w:r>
            <w:r w:rsidRPr="00C459CC">
              <w:rPr>
                <w:lang w:eastAsia="ro-RO"/>
              </w:rPr>
              <w:t>comun al ministrului fondurilor europene şi al ministrului transporturilor nr. 558/1133/2018 privind condiţiile de decontare din fonduri europene a cheltuielilor efectuate pentru lucrările executate în regie proprie în cadrul Programului operaţional Infrastructură mare 2014-2020</w:t>
            </w:r>
            <w:r w:rsidR="00F713F8" w:rsidRPr="00C459CC">
              <w:rPr>
                <w:lang w:eastAsia="ro-RO"/>
              </w:rPr>
              <w:t>, pentru sectorul de apă şi apă uzată.</w:t>
            </w:r>
          </w:p>
          <w:p w14:paraId="510B7404" w14:textId="38019472" w:rsidR="002E1F19" w:rsidRPr="00C459CC" w:rsidRDefault="002E1F19" w:rsidP="002E1F19">
            <w:pPr>
              <w:autoSpaceDE w:val="0"/>
              <w:autoSpaceDN w:val="0"/>
              <w:adjustRightInd w:val="0"/>
              <w:ind w:firstLine="459"/>
              <w:jc w:val="both"/>
              <w:rPr>
                <w:lang w:eastAsia="ro-RO"/>
              </w:rPr>
            </w:pPr>
            <w:r w:rsidRPr="00C459CC">
              <w:rPr>
                <w:lang w:eastAsia="ro-RO"/>
              </w:rPr>
              <w:t>Declanșarea crizei pe piața construcțiilor care are un caracter imprevizibil și este considerată cauză care nu depinde de acțiunea părților contractuale, dar care afectează în mod semnificativ implementarea proiectelor de infrastructură, dar și a celor de furnizare echipamente, consecința fiind blocarea implementării proiectelor și afectarea serioasă a indicatorilor pentru programe operaționale/naționale finanțate din fonduri, domeniul Afaceri interne, denumite în continuare programe naționale, pe care România le are de îndeplinit în cadrul politicii de coeziune 2014-2020 sau alte politici europene relevante, a determinat adoptarea Ordonanţei de urgenţă a Guvernului nr. 64/2022  privind ajustarea preţurilor şi a valorii devizelor generale în cadrul proiectelor finanţate din fonduri externe nerambursabile.</w:t>
            </w:r>
          </w:p>
          <w:p w14:paraId="6500B411" w14:textId="6F12E2F1" w:rsidR="002E1F19" w:rsidRPr="00C459CC" w:rsidRDefault="002E1F19" w:rsidP="002E1F19">
            <w:pPr>
              <w:autoSpaceDE w:val="0"/>
              <w:autoSpaceDN w:val="0"/>
              <w:adjustRightInd w:val="0"/>
              <w:ind w:firstLine="459"/>
              <w:jc w:val="both"/>
              <w:rPr>
                <w:lang w:eastAsia="ro-RO"/>
              </w:rPr>
            </w:pPr>
            <w:r w:rsidRPr="00C459CC">
              <w:rPr>
                <w:lang w:eastAsia="ro-RO"/>
              </w:rPr>
              <w:t>S-a constatat nevoia de intervenţie asupra cuprinsului ordonanţei de urgenţă, prin modificarea unor termeni utilizaţi, în scopul îndeplinirii cerinţelor de claritate impuse de art. 8, alin. (4) din Legea nr. 24/2000, cu modificările şi completările ulterioare.</w:t>
            </w:r>
          </w:p>
          <w:p w14:paraId="631D42F2" w14:textId="07CB454F" w:rsidR="002E1F19" w:rsidRPr="00C459CC" w:rsidRDefault="002E1F19" w:rsidP="002E1F19">
            <w:pPr>
              <w:autoSpaceDE w:val="0"/>
              <w:autoSpaceDN w:val="0"/>
              <w:adjustRightInd w:val="0"/>
              <w:ind w:firstLine="459"/>
              <w:jc w:val="both"/>
              <w:rPr>
                <w:lang w:eastAsia="ro-RO"/>
              </w:rPr>
            </w:pPr>
            <w:r w:rsidRPr="00C459CC">
              <w:rPr>
                <w:lang w:eastAsia="ro-RO"/>
              </w:rPr>
              <w:t xml:space="preserve">De asemenea, </w:t>
            </w:r>
            <w:r w:rsidR="00D11A8B" w:rsidRPr="00C459CC">
              <w:rPr>
                <w:lang w:eastAsia="ro-RO"/>
              </w:rPr>
              <w:t xml:space="preserve">sunt necesare anumite corecţii rezultate din corelări sau modificări ale unor dispoziţii care fac practic inaplicabil actul normativ în cauză, </w:t>
            </w:r>
            <w:r w:rsidR="008A241B" w:rsidRPr="00C459CC">
              <w:rPr>
                <w:lang w:eastAsia="ro-RO"/>
              </w:rPr>
              <w:t xml:space="preserve"> respectiv, dar fără a se limita la, </w:t>
            </w:r>
            <w:r w:rsidRPr="00C459CC">
              <w:rPr>
                <w:lang w:eastAsia="ro-RO"/>
              </w:rPr>
              <w:t xml:space="preserve">creșterile de costuri conduc la necesitatea ajustării bugetelor aprobate în cadrul proiectelor de infrastructură finanțate din fonduri europene încă de la momentul demarării proceselor de achiziție </w:t>
            </w:r>
            <w:r w:rsidRPr="00C459CC">
              <w:rPr>
                <w:lang w:eastAsia="ro-RO"/>
              </w:rPr>
              <w:lastRenderedPageBreak/>
              <w:t>publică, în consecinţă trebuie să se renunţe la impunerea condiţiei ca beneficiarul să fi utilizat cel putin 75% din valoarea eligibilă alocată la momentul încheierii unui act adiţional la contractele de finanţare pentru majorarea valorii eligibile.</w:t>
            </w:r>
          </w:p>
          <w:p w14:paraId="6F05AA06" w14:textId="456C1F07" w:rsidR="002E1F19" w:rsidRPr="00C459CC" w:rsidRDefault="002E1F19" w:rsidP="002E1F19">
            <w:pPr>
              <w:autoSpaceDE w:val="0"/>
              <w:autoSpaceDN w:val="0"/>
              <w:adjustRightInd w:val="0"/>
              <w:ind w:firstLine="459"/>
              <w:jc w:val="both"/>
              <w:rPr>
                <w:lang w:eastAsia="ro-RO"/>
              </w:rPr>
            </w:pPr>
            <w:r w:rsidRPr="00C459CC">
              <w:rPr>
                <w:lang w:eastAsia="ro-RO"/>
              </w:rPr>
              <w:t xml:space="preserve">Totodată, este imperios necesară reglementarea soluţiilor pentru problemele majore semnalate în implementarea proiectelor de infrastructură din sectorul </w:t>
            </w:r>
            <w:r w:rsidR="00667660" w:rsidRPr="00C459CC">
              <w:rPr>
                <w:lang w:eastAsia="ro-RO"/>
              </w:rPr>
              <w:t xml:space="preserve">de </w:t>
            </w:r>
            <w:r w:rsidRPr="00C459CC">
              <w:rPr>
                <w:lang w:eastAsia="ro-RO"/>
              </w:rPr>
              <w:t>apă și apă uzată determinate, în principal, de lipsa de corelare între elaborare/aprobare/ executare proiecte de reabilitare drumuri și aprobare/ executare proiecte din sectorul de apă și apă uzată.</w:t>
            </w:r>
          </w:p>
          <w:p w14:paraId="4B8392D4" w14:textId="3AE43EFF" w:rsidR="00916FBD" w:rsidRPr="00C459CC" w:rsidRDefault="00326755" w:rsidP="00326755">
            <w:pPr>
              <w:autoSpaceDE w:val="0"/>
              <w:autoSpaceDN w:val="0"/>
              <w:adjustRightInd w:val="0"/>
              <w:jc w:val="both"/>
              <w:rPr>
                <w:lang w:eastAsia="ro-RO"/>
              </w:rPr>
            </w:pPr>
            <w:r w:rsidRPr="00C459CC">
              <w:rPr>
                <w:lang w:eastAsia="ro-RO"/>
              </w:rPr>
              <w:t xml:space="preserve">        </w:t>
            </w:r>
            <w:r w:rsidR="00916FBD" w:rsidRPr="00C459CC">
              <w:rPr>
                <w:lang w:eastAsia="ro-RO"/>
              </w:rPr>
              <w:t>În ceea ce privește aplicarea prevederilor Ordonanței de urgență a Guvernului nr. 82/2022 privind unele măsuri pentru acordarea de granturi din fonduri externe nerambursabile pentru investiții destinate capacităților de prestare de servicii și retehnologizării, în vederea refacerii capacității de reziliență, acestea necesită actualizarea din punct de vedere al conținutului în sensul clarificării intenției de reglementare care să fie în concordanță cu prevederile de drept european în materie de ajutor de stat.</w:t>
            </w:r>
          </w:p>
          <w:p w14:paraId="1B790DC3" w14:textId="11A4A230" w:rsidR="00916FBD" w:rsidRPr="00C459CC" w:rsidRDefault="00916FBD" w:rsidP="00916FBD">
            <w:pPr>
              <w:autoSpaceDE w:val="0"/>
              <w:autoSpaceDN w:val="0"/>
              <w:adjustRightInd w:val="0"/>
              <w:ind w:firstLine="459"/>
              <w:jc w:val="both"/>
              <w:rPr>
                <w:lang w:eastAsia="ro-RO"/>
              </w:rPr>
            </w:pPr>
            <w:r w:rsidRPr="00C459CC">
              <w:rPr>
                <w:lang w:eastAsia="ro-RO"/>
              </w:rPr>
              <w:t>Astfel, cadrul macroeconomic actual conturează o situație excepțională, care impune luarea unor măsuri urgente care să vizeze accesul la finanțare în domenii prioritare pentru economia românească, în cadrul cărora se vor sprijini categoriile de beneficiari eligibili prin acordarea de granturi pentru investiții destinate retehnologizării IMM-urilor.</w:t>
            </w:r>
          </w:p>
          <w:p w14:paraId="36AF3C7E" w14:textId="1F5787CE" w:rsidR="006847F4" w:rsidRPr="00C459CC" w:rsidRDefault="006847F4" w:rsidP="006847F4">
            <w:pPr>
              <w:autoSpaceDE w:val="0"/>
              <w:autoSpaceDN w:val="0"/>
              <w:adjustRightInd w:val="0"/>
              <w:ind w:firstLine="459"/>
              <w:jc w:val="both"/>
              <w:rPr>
                <w:lang w:eastAsia="ro-RO"/>
              </w:rPr>
            </w:pPr>
            <w:r w:rsidRPr="00C459CC">
              <w:rPr>
                <w:lang w:eastAsia="ro-RO"/>
              </w:rPr>
              <w:t>De asemenea, cuprinsul Ordonanței de urgență a Guvernului nr. 156 din 3 septembrie 2020 privind unele măsuri pentru susținerea dezvoltării teritoriale a localităților urbane și rurale din România cu finanțare din fonduri externe nerambursabile, necesită precizări fără de care dispoziţiile sale nu pot fi aplicabile, în speţă prevederile articolului. 7.</w:t>
            </w:r>
          </w:p>
          <w:p w14:paraId="1C2EAF1C" w14:textId="65EFA019" w:rsidR="008A241B" w:rsidRPr="00C459CC" w:rsidRDefault="008A241B" w:rsidP="00197AD8">
            <w:pPr>
              <w:jc w:val="both"/>
              <w:rPr>
                <w:lang w:eastAsia="ro-RO"/>
              </w:rPr>
            </w:pPr>
            <w:r w:rsidRPr="00C459CC">
              <w:rPr>
                <w:lang w:eastAsia="ro-RO"/>
              </w:rPr>
              <w:t xml:space="preserve">        </w:t>
            </w:r>
          </w:p>
          <w:p w14:paraId="4238D1EB" w14:textId="4193FE10" w:rsidR="00223491" w:rsidRPr="00C459CC" w:rsidRDefault="00223491" w:rsidP="00B66071">
            <w:pPr>
              <w:autoSpaceDE w:val="0"/>
              <w:autoSpaceDN w:val="0"/>
              <w:adjustRightInd w:val="0"/>
              <w:ind w:firstLine="459"/>
              <w:jc w:val="both"/>
              <w:rPr>
                <w:lang w:eastAsia="ro-RO"/>
              </w:rPr>
            </w:pPr>
            <w:r w:rsidRPr="00C459CC">
              <w:rPr>
                <w:lang w:eastAsia="ro-RO"/>
              </w:rPr>
              <w:t>2.3 Schimbări preconizate</w:t>
            </w:r>
          </w:p>
          <w:p w14:paraId="3871A8D9" w14:textId="432501E7" w:rsidR="005D69BA" w:rsidRPr="00C459CC" w:rsidRDefault="002E1F19" w:rsidP="00B66071">
            <w:pPr>
              <w:autoSpaceDE w:val="0"/>
              <w:autoSpaceDN w:val="0"/>
              <w:adjustRightInd w:val="0"/>
              <w:ind w:firstLine="459"/>
              <w:jc w:val="both"/>
              <w:rPr>
                <w:lang w:eastAsia="ro-RO"/>
              </w:rPr>
            </w:pPr>
            <w:r w:rsidRPr="00C459CC">
              <w:rPr>
                <w:lang w:eastAsia="ro-RO"/>
              </w:rPr>
              <w:t>I.</w:t>
            </w:r>
            <w:r w:rsidR="00C3020C" w:rsidRPr="00C459CC">
              <w:rPr>
                <w:lang w:eastAsia="ro-RO"/>
              </w:rPr>
              <w:t xml:space="preserve">Prezenta ordonanță </w:t>
            </w:r>
            <w:r w:rsidR="00C417E1" w:rsidRPr="00C459CC">
              <w:rPr>
                <w:lang w:eastAsia="ro-RO"/>
              </w:rPr>
              <w:t xml:space="preserve">crează cadrul legal </w:t>
            </w:r>
            <w:r w:rsidR="005D69BA" w:rsidRPr="00C459CC">
              <w:rPr>
                <w:lang w:eastAsia="ro-RO"/>
              </w:rPr>
              <w:t>pentru tranziţia de la finanţarea</w:t>
            </w:r>
            <w:r w:rsidR="00364EE7" w:rsidRPr="00C459CC">
              <w:rPr>
                <w:lang w:eastAsia="ro-RO"/>
              </w:rPr>
              <w:t xml:space="preserve"> proiectelor</w:t>
            </w:r>
            <w:r w:rsidR="005D69BA" w:rsidRPr="00C459CC">
              <w:rPr>
                <w:lang w:eastAsia="ro-RO"/>
              </w:rPr>
              <w:t xml:space="preserve"> prin POIM la finan</w:t>
            </w:r>
            <w:r w:rsidR="00364EE7" w:rsidRPr="00C459CC">
              <w:rPr>
                <w:lang w:eastAsia="ro-RO"/>
              </w:rPr>
              <w:t>ţa</w:t>
            </w:r>
            <w:r w:rsidR="005D69BA" w:rsidRPr="00C459CC">
              <w:rPr>
                <w:lang w:eastAsia="ro-RO"/>
              </w:rPr>
              <w:t>rea</w:t>
            </w:r>
            <w:r w:rsidR="00364EE7" w:rsidRPr="00C459CC">
              <w:rPr>
                <w:lang w:eastAsia="ro-RO"/>
              </w:rPr>
              <w:t xml:space="preserve"> proiectelor</w:t>
            </w:r>
            <w:r w:rsidR="005D69BA" w:rsidRPr="00C459CC">
              <w:rPr>
                <w:lang w:eastAsia="ro-RO"/>
              </w:rPr>
              <w:t xml:space="preserve"> prin PODD, program operaţional încă neaprobat.</w:t>
            </w:r>
          </w:p>
          <w:p w14:paraId="1ECE7884" w14:textId="47D14FC6" w:rsidR="005D69BA" w:rsidRPr="00C459CC" w:rsidRDefault="005D69BA" w:rsidP="00B66071">
            <w:pPr>
              <w:autoSpaceDE w:val="0"/>
              <w:autoSpaceDN w:val="0"/>
              <w:adjustRightInd w:val="0"/>
              <w:ind w:firstLine="459"/>
              <w:jc w:val="both"/>
              <w:rPr>
                <w:lang w:eastAsia="ro-RO"/>
              </w:rPr>
            </w:pPr>
            <w:r w:rsidRPr="00C459CC">
              <w:rPr>
                <w:lang w:eastAsia="ro-RO"/>
              </w:rPr>
              <w:t xml:space="preserve">Astfel, pentru proiectele aflate în pregătire în actuala perioadă de programare, dar care vor fi finanţate din fondurile Uniunii Europene aferente perioadei de programare 2021- 2027, trebuie reglementată posibilitatea de a aloca credite de angajament prin bugetul Ministerului Investiţiilor şi Proiectelor Europene, respectiv prin incheireea contractelor de finanţare, </w:t>
            </w:r>
            <w:r w:rsidR="00FB7F41" w:rsidRPr="00C459CC">
              <w:rPr>
                <w:lang w:eastAsia="ro-RO"/>
              </w:rPr>
              <w:t xml:space="preserve">cu respectarea </w:t>
            </w:r>
            <w:r w:rsidRPr="00C459CC">
              <w:rPr>
                <w:lang w:eastAsia="ro-RO"/>
              </w:rPr>
              <w:t xml:space="preserve">regulilor de eligibilitate ale </w:t>
            </w:r>
            <w:r w:rsidR="00364EE7" w:rsidRPr="00C459CC">
              <w:rPr>
                <w:lang w:eastAsia="ro-RO"/>
              </w:rPr>
              <w:t>PODD.</w:t>
            </w:r>
          </w:p>
          <w:p w14:paraId="25CB3D35" w14:textId="6365CE5A" w:rsidR="00FB7F41" w:rsidRPr="00C459CC" w:rsidRDefault="00FB7F41" w:rsidP="00B66071">
            <w:pPr>
              <w:autoSpaceDE w:val="0"/>
              <w:autoSpaceDN w:val="0"/>
              <w:adjustRightInd w:val="0"/>
              <w:ind w:firstLine="459"/>
              <w:jc w:val="both"/>
              <w:rPr>
                <w:lang w:eastAsia="ro-RO"/>
              </w:rPr>
            </w:pPr>
            <w:r w:rsidRPr="00C459CC">
              <w:rPr>
                <w:lang w:eastAsia="ro-RO"/>
              </w:rPr>
              <w:t>Lista proiectelor care vor beneficia de măsurile temporare sunt incluse în anexa la prezenta ordonanţă de urgenţă, care face parte integrantă din aceasta</w:t>
            </w:r>
            <w:r w:rsidR="008A241B" w:rsidRPr="00C459CC">
              <w:rPr>
                <w:lang w:eastAsia="ro-RO"/>
              </w:rPr>
              <w:t>.</w:t>
            </w:r>
          </w:p>
          <w:p w14:paraId="61FD9006" w14:textId="43EE2EE1" w:rsidR="00364EE7" w:rsidRPr="00C459CC" w:rsidRDefault="00364EE7" w:rsidP="00B66071">
            <w:pPr>
              <w:autoSpaceDE w:val="0"/>
              <w:autoSpaceDN w:val="0"/>
              <w:adjustRightInd w:val="0"/>
              <w:ind w:firstLine="459"/>
              <w:jc w:val="both"/>
              <w:rPr>
                <w:lang w:eastAsia="ro-RO"/>
              </w:rPr>
            </w:pPr>
            <w:r w:rsidRPr="00C459CC">
              <w:rPr>
                <w:lang w:eastAsia="ro-RO"/>
              </w:rPr>
              <w:t xml:space="preserve">Finanţarea în cauză se va asigura de la </w:t>
            </w:r>
            <w:r w:rsidR="006C545C" w:rsidRPr="00C459CC">
              <w:rPr>
                <w:lang w:eastAsia="ro-RO"/>
              </w:rPr>
              <w:t>o subdiviziune distinctă</w:t>
            </w:r>
            <w:r w:rsidRPr="00C459CC">
              <w:rPr>
                <w:lang w:eastAsia="ro-RO"/>
              </w:rPr>
              <w:t xml:space="preserve"> în cadrul titlului 58- Proiecte cu finanţare din fonduri externe nerambursabile aferente cadrului financiar 2014-2020.</w:t>
            </w:r>
          </w:p>
          <w:p w14:paraId="6881B774" w14:textId="1EDBF83F" w:rsidR="00364EE7" w:rsidRPr="00C459CC" w:rsidRDefault="00364EE7" w:rsidP="00B66071">
            <w:pPr>
              <w:autoSpaceDE w:val="0"/>
              <w:autoSpaceDN w:val="0"/>
              <w:adjustRightInd w:val="0"/>
              <w:ind w:firstLine="459"/>
              <w:jc w:val="both"/>
              <w:rPr>
                <w:lang w:eastAsia="ro-RO"/>
              </w:rPr>
            </w:pPr>
            <w:r w:rsidRPr="00C459CC">
              <w:rPr>
                <w:lang w:eastAsia="ro-RO"/>
              </w:rPr>
              <w:t xml:space="preserve">Ca urmare, Autoritatea de management a POIM se autorizează să încheie contracte de finanţare pentru proiectele în pregătire, în limita creditelor de angajament </w:t>
            </w:r>
            <w:r w:rsidR="00EA6DD0" w:rsidRPr="00C459CC">
              <w:rPr>
                <w:lang w:eastAsia="ro-RO"/>
              </w:rPr>
              <w:t xml:space="preserve">aprobate </w:t>
            </w:r>
            <w:r w:rsidRPr="00C459CC">
              <w:rPr>
                <w:lang w:eastAsia="ro-RO"/>
              </w:rPr>
              <w:t>cu această destinaţie şi în condiţiile art. 12 lit. b) din Ordonanţa de urgenţă a Guvernului nr. 40/2015 privind gestionarea financiară a fondurilor europene pentru perioada de programare 2014-2020, cu modificările şi completările ulterioare, până la aprobarea PODD.</w:t>
            </w:r>
          </w:p>
          <w:p w14:paraId="12E17F78" w14:textId="19C340BC" w:rsidR="00186E41" w:rsidRPr="00C459CC" w:rsidRDefault="00364EE7" w:rsidP="00186E41">
            <w:pPr>
              <w:autoSpaceDE w:val="0"/>
              <w:autoSpaceDN w:val="0"/>
              <w:adjustRightInd w:val="0"/>
              <w:ind w:firstLine="459"/>
              <w:jc w:val="both"/>
              <w:rPr>
                <w:lang w:eastAsia="ro-RO"/>
              </w:rPr>
            </w:pPr>
            <w:r w:rsidRPr="00C459CC">
              <w:rPr>
                <w:lang w:eastAsia="ro-RO"/>
              </w:rPr>
              <w:t xml:space="preserve">De asemenea, Autoritatea de management a POIM este autorizată să </w:t>
            </w:r>
            <w:r w:rsidR="00243D26" w:rsidRPr="00C459CC">
              <w:rPr>
                <w:lang w:eastAsia="ro-RO"/>
              </w:rPr>
              <w:t>instrumenteze cereri de rambursare</w:t>
            </w:r>
            <w:r w:rsidRPr="00C459CC">
              <w:rPr>
                <w:lang w:eastAsia="ro-RO"/>
              </w:rPr>
              <w:t xml:space="preserve"> şi să efectueze şi plăţi aferente acestor contracte de finanţare,</w:t>
            </w:r>
            <w:r w:rsidR="006847F4" w:rsidRPr="00C459CC">
              <w:rPr>
                <w:lang w:eastAsia="ro-RO"/>
              </w:rPr>
              <w:t xml:space="preserve"> în condiţiile Ordonanţei de urgenţă a Guvernului nr. 40/ 2015 privind gestionarea financiară a fondurilor europene pentru perioada de programare 2014-2020, cu modificările şi completările ulterioare, </w:t>
            </w:r>
            <w:r w:rsidRPr="00C459CC">
              <w:rPr>
                <w:lang w:eastAsia="ro-RO"/>
              </w:rPr>
              <w:t xml:space="preserve"> până la aprobarea PODD.</w:t>
            </w:r>
            <w:r w:rsidR="00186E41" w:rsidRPr="00C459CC">
              <w:rPr>
                <w:lang w:eastAsia="ro-RO"/>
              </w:rPr>
              <w:t xml:space="preserve"> </w:t>
            </w:r>
          </w:p>
          <w:p w14:paraId="26B374ED" w14:textId="41291D3D" w:rsidR="00186E41" w:rsidRPr="00C459CC" w:rsidRDefault="00186E41" w:rsidP="00186E41">
            <w:pPr>
              <w:autoSpaceDE w:val="0"/>
              <w:autoSpaceDN w:val="0"/>
              <w:adjustRightInd w:val="0"/>
              <w:ind w:firstLine="459"/>
              <w:jc w:val="both"/>
              <w:rPr>
                <w:lang w:eastAsia="ro-RO"/>
              </w:rPr>
            </w:pPr>
            <w:r w:rsidRPr="00C459CC">
              <w:rPr>
                <w:lang w:eastAsia="ro-RO"/>
              </w:rPr>
              <w:t>Prezentul act normativ precizează fluxurile de urmat în vederea asigurării cadrului necesar rambursării cheltuielilor efectuate anterior aprobării PODD. Ca urmar</w:t>
            </w:r>
            <w:r w:rsidR="0089511B" w:rsidRPr="00C459CC">
              <w:rPr>
                <w:lang w:eastAsia="ro-RO"/>
              </w:rPr>
              <w:t>e, aplicaţiile</w:t>
            </w:r>
            <w:r w:rsidRPr="00C459CC">
              <w:rPr>
                <w:lang w:eastAsia="ro-RO"/>
              </w:rPr>
              <w:t xml:space="preserve"> pentru care au fost încheiate contracte a căror finanţare este asigurată în actuala perioadă de programare, vor fi reevaluate</w:t>
            </w:r>
            <w:r w:rsidR="0089511B" w:rsidRPr="00C459CC">
              <w:rPr>
                <w:lang w:eastAsia="ro-RO"/>
              </w:rPr>
              <w:t xml:space="preserve"> după regulile PODD, iar cheltuielile care nu îndeplinesc condiţiile de eligibilitate vor rămâne în sarcina beneficiarului.</w:t>
            </w:r>
          </w:p>
          <w:p w14:paraId="485D55FE" w14:textId="757521E0" w:rsidR="00364EE7" w:rsidRPr="00C459CC" w:rsidRDefault="0089511B" w:rsidP="00B66071">
            <w:pPr>
              <w:autoSpaceDE w:val="0"/>
              <w:autoSpaceDN w:val="0"/>
              <w:adjustRightInd w:val="0"/>
              <w:ind w:firstLine="459"/>
              <w:jc w:val="both"/>
              <w:rPr>
                <w:lang w:eastAsia="ro-RO"/>
              </w:rPr>
            </w:pPr>
            <w:r w:rsidRPr="00C459CC">
              <w:rPr>
                <w:lang w:eastAsia="ro-RO"/>
              </w:rPr>
              <w:t>Ca urmare, cheltuielile angajate sub contract finanţat din POIM vor fi angajate sub contract finanţat din PODD.</w:t>
            </w:r>
          </w:p>
          <w:p w14:paraId="786A3DDD" w14:textId="3216417C" w:rsidR="0089511B" w:rsidRPr="00C459CC" w:rsidRDefault="0089511B" w:rsidP="00B66071">
            <w:pPr>
              <w:autoSpaceDE w:val="0"/>
              <w:autoSpaceDN w:val="0"/>
              <w:adjustRightInd w:val="0"/>
              <w:ind w:firstLine="459"/>
              <w:jc w:val="both"/>
              <w:rPr>
                <w:lang w:eastAsia="ro-RO"/>
              </w:rPr>
            </w:pPr>
            <w:r w:rsidRPr="00C459CC">
              <w:rPr>
                <w:lang w:eastAsia="ro-RO"/>
              </w:rPr>
              <w:t xml:space="preserve">Ulterior etapei angajării acestor cheltuieli din PODD, sumele aferente plăţilor deja efectuate şi autorizate de autoritatea de management </w:t>
            </w:r>
            <w:r w:rsidR="00FB7F41" w:rsidRPr="00C459CC">
              <w:rPr>
                <w:lang w:eastAsia="ro-RO"/>
              </w:rPr>
              <w:t xml:space="preserve">şi care se cuvin a fi rambursate beneficiarilor vor fi virate la </w:t>
            </w:r>
            <w:r w:rsidR="00FB7F41" w:rsidRPr="00C459CC">
              <w:rPr>
                <w:lang w:eastAsia="ro-RO"/>
              </w:rPr>
              <w:lastRenderedPageBreak/>
              <w:t>bugetul de stat, într-un cont distinct de venituri aferent IBAN-ului Ministerului învestiţiilor şi Proiectelor Europene.</w:t>
            </w:r>
          </w:p>
          <w:p w14:paraId="5A2330D0" w14:textId="5EA08970" w:rsidR="00FB7F41" w:rsidRPr="00C459CC" w:rsidRDefault="00FB7F41" w:rsidP="00B66071">
            <w:pPr>
              <w:autoSpaceDE w:val="0"/>
              <w:autoSpaceDN w:val="0"/>
              <w:adjustRightInd w:val="0"/>
              <w:ind w:firstLine="459"/>
              <w:jc w:val="both"/>
              <w:rPr>
                <w:lang w:eastAsia="ro-RO"/>
              </w:rPr>
            </w:pPr>
            <w:r w:rsidRPr="00C459CC">
              <w:rPr>
                <w:lang w:eastAsia="ro-RO"/>
              </w:rPr>
              <w:t xml:space="preserve">Odată cu </w:t>
            </w:r>
            <w:r w:rsidR="006847F4" w:rsidRPr="00C459CC">
              <w:rPr>
                <w:lang w:eastAsia="ro-RO"/>
              </w:rPr>
              <w:t xml:space="preserve">încheierea </w:t>
            </w:r>
            <w:r w:rsidRPr="00C459CC">
              <w:rPr>
                <w:lang w:eastAsia="ro-RO"/>
              </w:rPr>
              <w:t xml:space="preserve">contractelor de finanţare în PODD, implementarea proiectelor în cauză se va realiza potrivit dispoziţiilor Ordonanţei de urgenţă a Guvernului nr. 133/2021 privind gestionarea financiară a fondurilor europene pentru perioada de programare 2021-2027 alocate României din Fondul european de dezvoltare regională, Fondul de coeziune, Fondul social european Plus, Fondul pentru o tranziție justă, iar </w:t>
            </w:r>
            <w:r w:rsidR="006847F4" w:rsidRPr="00C459CC">
              <w:rPr>
                <w:lang w:eastAsia="ro-RO"/>
              </w:rPr>
              <w:t>angajamentele bugetare aferente contractelor încheiate în condiţiile prezentei ordonanţe de urgenţă care nu au fost autorizate şi plătite, se dezangajează.</w:t>
            </w:r>
          </w:p>
          <w:p w14:paraId="54728EDD" w14:textId="2037A1C0" w:rsidR="006847F4" w:rsidRPr="00C459CC" w:rsidRDefault="006847F4" w:rsidP="006847F4">
            <w:pPr>
              <w:autoSpaceDE w:val="0"/>
              <w:autoSpaceDN w:val="0"/>
              <w:adjustRightInd w:val="0"/>
              <w:ind w:firstLine="459"/>
              <w:jc w:val="both"/>
              <w:rPr>
                <w:lang w:eastAsia="ro-RO"/>
              </w:rPr>
            </w:pPr>
            <w:r w:rsidRPr="00C459CC">
              <w:rPr>
                <w:lang w:eastAsia="ro-RO"/>
              </w:rPr>
              <w:t>II.Prin prezenta ordonanţă de urgenţă se reglementează si situaţia suprapunerilor de lucrări finanţate din fonduri europene prin programe operaţionale distincte. Astfel, se dispune obligaţia autorităţilor locale de corela execuţia lucrărilor de drumuri/reabilitare drumuri cu execuţia lucrărilor de reţele de apă şi apă uzată, ţinând cont de faptul că, prin Tratatul de Aderare la Uniunea Europeană, România s-a angajat să asigure conformarea cu Directiva 98/83/CE privind calitatea apei destinate consumului uman, respectiv cu Directiva 91/271/CEE privind epurarea apelor uzate.</w:t>
            </w:r>
          </w:p>
          <w:p w14:paraId="49DFA67A" w14:textId="77777777" w:rsidR="006847F4" w:rsidRPr="00C459CC" w:rsidRDefault="006847F4" w:rsidP="006847F4">
            <w:pPr>
              <w:autoSpaceDE w:val="0"/>
              <w:autoSpaceDN w:val="0"/>
              <w:adjustRightInd w:val="0"/>
              <w:ind w:firstLine="459"/>
              <w:jc w:val="both"/>
              <w:rPr>
                <w:lang w:eastAsia="ro-RO"/>
              </w:rPr>
            </w:pPr>
            <w:r w:rsidRPr="00C459CC">
              <w:rPr>
                <w:lang w:eastAsia="ro-RO"/>
              </w:rPr>
              <w:t>Se constată în practică că, la nivelul autorităţilor locale, emitente ale autorizaţiilor de construire pentru ambele intervenţii, stabilirea succesiunii executării acestor lucrări, drumuri si reţele, este incoerentă.</w:t>
            </w:r>
          </w:p>
          <w:p w14:paraId="24026945" w14:textId="77777777" w:rsidR="006847F4" w:rsidRPr="00C459CC" w:rsidRDefault="006847F4" w:rsidP="006847F4">
            <w:pPr>
              <w:autoSpaceDE w:val="0"/>
              <w:autoSpaceDN w:val="0"/>
              <w:adjustRightInd w:val="0"/>
              <w:ind w:firstLine="459"/>
              <w:jc w:val="both"/>
              <w:rPr>
                <w:lang w:eastAsia="ro-RO"/>
              </w:rPr>
            </w:pPr>
            <w:r w:rsidRPr="00C459CC">
              <w:rPr>
                <w:lang w:eastAsia="ro-RO"/>
              </w:rPr>
              <w:t>Ca urmare, măsurile sunt formulate potrivit criteriului atribuirii contractului de lucrări de reţele de apă şi apă uzată.</w:t>
            </w:r>
          </w:p>
          <w:p w14:paraId="0B8D3278" w14:textId="77777777" w:rsidR="006847F4" w:rsidRPr="00C459CC" w:rsidRDefault="006847F4" w:rsidP="006847F4">
            <w:pPr>
              <w:autoSpaceDE w:val="0"/>
              <w:autoSpaceDN w:val="0"/>
              <w:adjustRightInd w:val="0"/>
              <w:ind w:firstLine="459"/>
              <w:jc w:val="both"/>
              <w:rPr>
                <w:lang w:eastAsia="ro-RO"/>
              </w:rPr>
            </w:pPr>
            <w:r w:rsidRPr="00C459CC">
              <w:rPr>
                <w:lang w:eastAsia="ro-RO"/>
              </w:rPr>
              <w:t>Dacă procesul de atribuire nu a fost demarat, OR au obligaţia  informării prin documentaţiile de atribuire de  existenţa lucrărilor de reabilitare drumuri.</w:t>
            </w:r>
          </w:p>
          <w:p w14:paraId="13EAEA00" w14:textId="42D5D420" w:rsidR="006847F4" w:rsidRPr="00C459CC" w:rsidRDefault="006847F4" w:rsidP="006847F4">
            <w:pPr>
              <w:autoSpaceDE w:val="0"/>
              <w:autoSpaceDN w:val="0"/>
              <w:adjustRightInd w:val="0"/>
              <w:ind w:firstLine="459"/>
              <w:jc w:val="both"/>
              <w:rPr>
                <w:lang w:eastAsia="ro-RO"/>
              </w:rPr>
            </w:pPr>
            <w:r w:rsidRPr="00C459CC">
              <w:rPr>
                <w:lang w:eastAsia="ro-RO"/>
              </w:rPr>
              <w:t>Dacă contractele de lucrări de reţele sunt atribuite, urmează defalcarea abordării suprapunerii cu lucrările de reabilitare drumuri funcţie de posibilităţile oferite de amplasament. Astfel, poate fi modificată soluţia tehnică sau poate fi preluat costul cu refacerea şi garanţia drumului, în limita substanţialităţii, aşa cu este prevăzut în legislaţia specifică achiziţiilor publice.</w:t>
            </w:r>
          </w:p>
          <w:p w14:paraId="707ED02F" w14:textId="1144F93A" w:rsidR="00326755" w:rsidRPr="00C459CC" w:rsidRDefault="00326755" w:rsidP="00326755">
            <w:pPr>
              <w:autoSpaceDE w:val="0"/>
              <w:autoSpaceDN w:val="0"/>
              <w:adjustRightInd w:val="0"/>
              <w:ind w:firstLine="459"/>
              <w:jc w:val="both"/>
              <w:rPr>
                <w:lang w:eastAsia="ro-RO"/>
              </w:rPr>
            </w:pPr>
            <w:r w:rsidRPr="00C459CC">
              <w:rPr>
                <w:lang w:eastAsia="ro-RO"/>
              </w:rPr>
              <w:t>II</w:t>
            </w:r>
            <w:r w:rsidR="006847F4" w:rsidRPr="00C459CC">
              <w:rPr>
                <w:lang w:eastAsia="ro-RO"/>
              </w:rPr>
              <w:t>I</w:t>
            </w:r>
            <w:r w:rsidRPr="00C459CC">
              <w:rPr>
                <w:lang w:eastAsia="ro-RO"/>
              </w:rPr>
              <w:t>. Preluarea şi modificarea dispoziţiilor Ordinului</w:t>
            </w:r>
            <w:r w:rsidRPr="00C459CC">
              <w:t xml:space="preserve"> </w:t>
            </w:r>
            <w:r w:rsidRPr="00C459CC">
              <w:rPr>
                <w:lang w:eastAsia="ro-RO"/>
              </w:rPr>
              <w:t>comun al ministrului fondurilor europene şi al ministrului transporturilor nr. 558/1133/2018 privind condiţiile de decontare din fonduri europene a cheltuielilor efectuate pentru lucrările executate în regie proprie</w:t>
            </w:r>
            <w:r w:rsidR="006847F4" w:rsidRPr="00C459CC">
              <w:rPr>
                <w:lang w:eastAsia="ro-RO"/>
              </w:rPr>
              <w:t xml:space="preserve"> pe sectorul de apă şi apă uzată</w:t>
            </w:r>
            <w:r w:rsidRPr="00C459CC">
              <w:rPr>
                <w:lang w:eastAsia="ro-RO"/>
              </w:rPr>
              <w:t xml:space="preserve"> în cadrul Programului operaţional Infrastructură mare 2014-2020 sunt absolut necesare în contextul actual în care riscul de incetare a contractelor de lucrări/furnizare este unul crescut, urmare a prevederilor art. 7 alin. (4) din Ordonanţa de urgenţă nr. 64/2022</w:t>
            </w:r>
            <w:r w:rsidRPr="00C459CC">
              <w:t xml:space="preserve"> </w:t>
            </w:r>
            <w:r w:rsidRPr="00C459CC">
              <w:rPr>
                <w:lang w:eastAsia="ro-RO"/>
              </w:rPr>
              <w:t>privind ajustarea preţurilor şi a valorii devizelor generale în cadrul proiectelor finanţate din fonduri externe nerambursabile care permit încetarea de comun acord dacă din aplicarea reechilibrării contractuale nu sunt acoperite creşterile reale ale costurilor, executarea acestuia fiind apreciată ca prea oneroasă.</w:t>
            </w:r>
          </w:p>
          <w:p w14:paraId="74612F39" w14:textId="68099F33" w:rsidR="00326755" w:rsidRPr="00C459CC" w:rsidRDefault="00326755" w:rsidP="008D5D01">
            <w:pPr>
              <w:autoSpaceDE w:val="0"/>
              <w:autoSpaceDN w:val="0"/>
              <w:adjustRightInd w:val="0"/>
              <w:ind w:firstLine="459"/>
              <w:jc w:val="both"/>
              <w:rPr>
                <w:lang w:eastAsia="ro-RO"/>
              </w:rPr>
            </w:pPr>
            <w:r w:rsidRPr="00C459CC">
              <w:rPr>
                <w:lang w:eastAsia="ro-RO"/>
              </w:rPr>
              <w:t xml:space="preserve">Totodată, </w:t>
            </w:r>
            <w:r w:rsidR="008D5D01" w:rsidRPr="00C459CC">
              <w:rPr>
                <w:lang w:eastAsia="ro-RO"/>
              </w:rPr>
              <w:t xml:space="preserve">se modifică prevederile Ordinului sus-menţionat în sensul că, beneficiarul Programului operațional Infrastructură Mare poate recurge la execuţia de lucrări în regie proprie în cadrul unui proiect, dacă contractul de lucrări menţionat se afla, la momentul rezilierii sau încetării anticipate, la un progres fizic de cel puţin </w:t>
            </w:r>
            <w:r w:rsidR="006847F4" w:rsidRPr="00C459CC">
              <w:rPr>
                <w:lang w:eastAsia="ro-RO"/>
              </w:rPr>
              <w:t>65</w:t>
            </w:r>
            <w:r w:rsidR="008D5D01" w:rsidRPr="00C459CC">
              <w:rPr>
                <w:lang w:eastAsia="ro-RO"/>
              </w:rPr>
              <w:t>%.</w:t>
            </w:r>
          </w:p>
          <w:p w14:paraId="5C113419" w14:textId="6773A1D8" w:rsidR="002E1F19" w:rsidRPr="00C459CC" w:rsidRDefault="00F60956" w:rsidP="002E1F19">
            <w:pPr>
              <w:autoSpaceDE w:val="0"/>
              <w:autoSpaceDN w:val="0"/>
              <w:adjustRightInd w:val="0"/>
              <w:ind w:firstLine="459"/>
              <w:jc w:val="both"/>
              <w:rPr>
                <w:lang w:eastAsia="ro-RO"/>
              </w:rPr>
            </w:pPr>
            <w:r w:rsidRPr="00C459CC">
              <w:rPr>
                <w:lang w:eastAsia="ro-RO"/>
              </w:rPr>
              <w:t>I</w:t>
            </w:r>
            <w:r w:rsidR="00057FE6" w:rsidRPr="00C459CC">
              <w:rPr>
                <w:lang w:eastAsia="ro-RO"/>
              </w:rPr>
              <w:t>v</w:t>
            </w:r>
            <w:r w:rsidR="002E1F19" w:rsidRPr="00C459CC">
              <w:rPr>
                <w:lang w:eastAsia="ro-RO"/>
              </w:rPr>
              <w:t>. Modificarea Ordonanţei de urgenţă a Guvernului nr. 64/2022  privind ajustarea preţurilor şi a valorii devizelor generale în cadrul proiectelor finanţate din fonduri externe nerambursabile, are în vedere precizări suplimentare legate de obiectul acestui act normativ, ca urmare:</w:t>
            </w:r>
          </w:p>
          <w:p w14:paraId="629F55B4" w14:textId="566BE504" w:rsidR="002E1F19" w:rsidRPr="00C459CC" w:rsidRDefault="002E1F19" w:rsidP="00916FBD">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se modifică şi completează alineatul (3) al articolului 1 pentru reformulare, respectiv pentru unitate terminologică cu dispoziţiile art. 19 alin. (1) şi precizarea secţiunii supuse actualizării în proiectele de infrastructură, respectiv investiţia de bază;</w:t>
            </w:r>
          </w:p>
          <w:p w14:paraId="043DB3CE" w14:textId="45BD599F" w:rsidR="002E1F19" w:rsidRPr="00C459CC" w:rsidRDefault="002E1F19" w:rsidP="00916FBD">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la articolul 1, după alineatul (3) se introduce alineatul (4) în sensul completării obiectului ordonanţei de urgenţă cu investiţiile realizate prin contractele de achiziţii de produse, aşa cum sunt definite la art. 3 alin. (2) lit. b).</w:t>
            </w:r>
          </w:p>
          <w:p w14:paraId="0C240993" w14:textId="0C91D921" w:rsidR="002E1F19" w:rsidRPr="00C459CC" w:rsidRDefault="002E1F19" w:rsidP="00916FBD">
            <w:pPr>
              <w:autoSpaceDE w:val="0"/>
              <w:autoSpaceDN w:val="0"/>
              <w:adjustRightInd w:val="0"/>
              <w:jc w:val="both"/>
              <w:rPr>
                <w:lang w:eastAsia="ro-RO"/>
              </w:rPr>
            </w:pPr>
            <w:r w:rsidRPr="00C459CC">
              <w:rPr>
                <w:lang w:eastAsia="ro-RO"/>
              </w:rPr>
              <w:t xml:space="preserve">       De asemenea, este necesară modificarea literei b), alin. (2) al art. 3, respectiv reformularea pct. (i) şi preluarea completă a formulării aferentă subcapitolelor 4.3, 4.4, 4.5 din anexa nr. 6 la H.G. nr. 907/2016, respectiv introducerea echipamentelor de transport.</w:t>
            </w:r>
          </w:p>
          <w:p w14:paraId="0A8AAFDB" w14:textId="679CA51D" w:rsidR="002E1F19" w:rsidRPr="00C459CC" w:rsidRDefault="002E1F19" w:rsidP="00916FBD">
            <w:pPr>
              <w:autoSpaceDE w:val="0"/>
              <w:autoSpaceDN w:val="0"/>
              <w:adjustRightInd w:val="0"/>
              <w:jc w:val="both"/>
              <w:rPr>
                <w:lang w:eastAsia="ro-RO"/>
              </w:rPr>
            </w:pPr>
            <w:r w:rsidRPr="00C459CC">
              <w:rPr>
                <w:lang w:eastAsia="ro-RO"/>
              </w:rPr>
              <w:t xml:space="preserve">        Totodată, în cuprinsul art. 16, alin. (2) este necesară definirea sumelor eligibile şi neeligibile disponibile în contractul de finanţare, prin trimiterea la prevederile art. 13, alin. (4).</w:t>
            </w:r>
          </w:p>
          <w:p w14:paraId="4FB96CA6" w14:textId="5A14C92A" w:rsidR="002E1F19" w:rsidRPr="00C459CC" w:rsidRDefault="002E1F19" w:rsidP="00916FBD">
            <w:pPr>
              <w:autoSpaceDE w:val="0"/>
              <w:autoSpaceDN w:val="0"/>
              <w:adjustRightInd w:val="0"/>
              <w:jc w:val="both"/>
              <w:rPr>
                <w:lang w:eastAsia="ro-RO"/>
              </w:rPr>
            </w:pPr>
            <w:r w:rsidRPr="00C459CC">
              <w:rPr>
                <w:lang w:eastAsia="ro-RO"/>
              </w:rPr>
              <w:lastRenderedPageBreak/>
              <w:t xml:space="preserve">         Modificarea de urgenţă este determinată de creșterile de costuri care impun necesitatea ajustării bugetelor aprobate în cadrul proiectelor de infrastructură finanțate din fonduri europene încă de la momentul demarării proceselor de achiziție publică, în consecinţă este imperios necesar să se renunţe la condiţia ca beneficiarul să fi utilizat cel putin 75% din valoarea eligibilă alocată la momentul încheierii unui act adiţional la contractele de finanţare pentru majorarea valorii eligibile.</w:t>
            </w:r>
          </w:p>
          <w:p w14:paraId="2571D822" w14:textId="50645C6E" w:rsidR="002E1F19" w:rsidRPr="00C459CC" w:rsidRDefault="002E1F19" w:rsidP="00916FBD">
            <w:pPr>
              <w:autoSpaceDE w:val="0"/>
              <w:autoSpaceDN w:val="0"/>
              <w:adjustRightInd w:val="0"/>
              <w:jc w:val="both"/>
              <w:rPr>
                <w:lang w:eastAsia="ro-RO"/>
              </w:rPr>
            </w:pPr>
            <w:r w:rsidRPr="00C459CC">
              <w:rPr>
                <w:lang w:eastAsia="ro-RO"/>
              </w:rPr>
              <w:t xml:space="preserve">         Menţinerea condiţiei, pentru proiectele de infrastructură, de la art. 19 alin. (4), respectiv trimiterea la conformitatea cu prevederile art. 12, creează un blocaj la nivelul derulării proceselor de achiziţii publice, în sensul în care sursa de finanţare reprezentată de contractul de finanţare nu acoperă actualizările valorilor estimate ale contractelor subsecvente. Altfel, beneficiarul ar fi obligat să demareze achiziţia publică doar pentru acea parte din contractele subsecvente care se încadrează în bugetul proiectului aprobat, ceea ce ar conduce la întârzieri semnificative în derularea implementării proiectelor de infrastructură.</w:t>
            </w:r>
          </w:p>
          <w:p w14:paraId="6AA41378" w14:textId="5560FBE9" w:rsidR="00B926A1" w:rsidRPr="00C459CC" w:rsidRDefault="00B926A1" w:rsidP="00916FBD">
            <w:pPr>
              <w:autoSpaceDE w:val="0"/>
              <w:autoSpaceDN w:val="0"/>
              <w:adjustRightInd w:val="0"/>
              <w:jc w:val="both"/>
              <w:rPr>
                <w:lang w:eastAsia="ro-RO"/>
              </w:rPr>
            </w:pPr>
            <w:r w:rsidRPr="00C459CC">
              <w:rPr>
                <w:lang w:eastAsia="ro-RO"/>
              </w:rPr>
              <w:t xml:space="preserve">          Totodată, au fost operate modificări ale dispoziţiilor Ordonanţei de urgenţă a Guvernului nr. 64/2022  privind ajustarea preţurilor şi a valorii devizelor generale în cadrul proiectelor finanţate din fonduri externe nerambursabile pentru </w:t>
            </w:r>
            <w:r w:rsidR="00533CD3" w:rsidRPr="00C459CC">
              <w:rPr>
                <w:lang w:eastAsia="ro-RO"/>
              </w:rPr>
              <w:t xml:space="preserve">clarificarea şi </w:t>
            </w:r>
            <w:r w:rsidRPr="00C459CC">
              <w:rPr>
                <w:lang w:eastAsia="ro-RO"/>
              </w:rPr>
              <w:t>corelare</w:t>
            </w:r>
            <w:r w:rsidR="00533CD3" w:rsidRPr="00C459CC">
              <w:rPr>
                <w:lang w:eastAsia="ro-RO"/>
              </w:rPr>
              <w:t>a</w:t>
            </w:r>
            <w:r w:rsidRPr="00C459CC">
              <w:rPr>
                <w:lang w:eastAsia="ro-RO"/>
              </w:rPr>
              <w:t xml:space="preserve"> termeni</w:t>
            </w:r>
            <w:r w:rsidR="00533CD3" w:rsidRPr="00C459CC">
              <w:rPr>
                <w:lang w:eastAsia="ro-RO"/>
              </w:rPr>
              <w:t>lor</w:t>
            </w:r>
            <w:r w:rsidRPr="00C459CC">
              <w:rPr>
                <w:lang w:eastAsia="ro-RO"/>
              </w:rPr>
              <w:t xml:space="preserve"> utilizaţi, condiţii de aplicare stabilite sau corecţii a</w:t>
            </w:r>
            <w:r w:rsidR="00983F6B" w:rsidRPr="00C459CC">
              <w:rPr>
                <w:lang w:eastAsia="ro-RO"/>
              </w:rPr>
              <w:t>supra unor modalităţi de calcul, după cum urmează:</w:t>
            </w:r>
          </w:p>
          <w:p w14:paraId="0817F4C7" w14:textId="389F6E48" w:rsidR="00983F6B" w:rsidRPr="00C459CC" w:rsidRDefault="00533CD3"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se detaliază cuprinsul lit. d) a alin.(13) de la art. 3, respectiv condiţii de imprevizibilitate ce trebuie întrunite în vederea aplicării ordonanţei de urgenţă, în sensul în care facilităţile acordate contractanţilor trebuie să aibă impact direct asupra costurilor de realizare a contractului;</w:t>
            </w:r>
          </w:p>
          <w:p w14:paraId="57568145" w14:textId="70578C82" w:rsidR="00533CD3" w:rsidRPr="00C459CC" w:rsidRDefault="00533CD3"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alin. (4) al art. 3 se corectează, în sensul în care pragurile valorice din Legea nr. 98/2016 sunt prevăzute la art. 7;</w:t>
            </w:r>
          </w:p>
          <w:p w14:paraId="69B6594D" w14:textId="2B841E57" w:rsidR="00533CD3" w:rsidRPr="00C459CC" w:rsidRDefault="00533CD3"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condiţiile de aplicare ale ordonanţei de urgenţă din alin. (14) al art. 3, trebuie adaptate realităţii executării contractelor de achiziţie publică si astfel, se introduc excepţii pentru contractele subsecvente proiectelor de infrastructură de transport şi contractelor de proiectare şi execuţie lucrări</w:t>
            </w:r>
            <w:r w:rsidR="00CE7219" w:rsidRPr="00C459CC">
              <w:rPr>
                <w:rFonts w:ascii="Times New Roman" w:eastAsia="Times New Roman" w:hAnsi="Times New Roman" w:cs="Times New Roman"/>
                <w:lang w:eastAsia="ro-RO"/>
              </w:rPr>
              <w:t>;</w:t>
            </w:r>
          </w:p>
          <w:p w14:paraId="063227C4" w14:textId="63BE51D1" w:rsidR="00CE7219" w:rsidRPr="00C459CC" w:rsidRDefault="00CE7219"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se modifică  şi se clarifică termenele prevăzute de art. 7 alin. (4);</w:t>
            </w:r>
          </w:p>
          <w:p w14:paraId="1755A4D5" w14:textId="14EF3ED7" w:rsidR="00CE7219" w:rsidRPr="00C459CC" w:rsidRDefault="00CE7219"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se modifică termenul prevăzut de art. 11, alin. (1), 60 de zile fiind insuficiente pentru elaborarea documentelor necesare şi se introduce şi posibilitatea iniţierii de către beneficiari a modificărilor contractuale ce privesc constituirea rezervei de implementare;</w:t>
            </w:r>
          </w:p>
          <w:p w14:paraId="394A81C4" w14:textId="76090C17" w:rsidR="00CE7219" w:rsidRPr="00C459CC" w:rsidRDefault="00CE7219"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se clarifică conţinutul art. 11, alin. (3) în sensul în care transmiterea solicitării de ajustare a preţului contractelor economice produce efecte dacă este însoţită de justificări concludente şi complete;</w:t>
            </w:r>
          </w:p>
          <w:p w14:paraId="7D9C57B7" w14:textId="77777777" w:rsidR="00CE7219" w:rsidRPr="00C459CC" w:rsidRDefault="00CE7219"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alin. (4) al art. 11 se corectează, referinţa la art. 10, etapa a III-a, trebuie înlocuită cu referinţa la art. 10, etapa a II-a;</w:t>
            </w:r>
          </w:p>
          <w:p w14:paraId="5421D287" w14:textId="55D9BDAA" w:rsidR="00CE7219" w:rsidRPr="00C459CC" w:rsidRDefault="00CE7219"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alin</w:t>
            </w:r>
            <w:r w:rsidR="00AA0A78" w:rsidRPr="00C459CC">
              <w:rPr>
                <w:rFonts w:ascii="Times New Roman" w:eastAsia="Times New Roman" w:hAnsi="Times New Roman" w:cs="Times New Roman"/>
                <w:lang w:eastAsia="ro-RO"/>
              </w:rPr>
              <w:t>. (2) al art. 16 se completează, condiţionând cu evidenţierea în sistemul MySMIS, distinct, a rezervei de ajustare;</w:t>
            </w:r>
          </w:p>
          <w:p w14:paraId="1D4DFB67" w14:textId="11FEB72E" w:rsidR="00AA0A78" w:rsidRPr="00C459CC" w:rsidRDefault="00AA0A78"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alin. (3) al art. 16 se corectează în vederea corelării cu dispoziţiile art. 12 alin. (1) lit. a);</w:t>
            </w:r>
          </w:p>
          <w:p w14:paraId="73C628EA" w14:textId="581A273D" w:rsidR="00AA0A78" w:rsidRPr="00C459CC" w:rsidRDefault="00AA0A78"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 xml:space="preserve">se completează art. 17, alin. (3) </w:t>
            </w:r>
            <w:r w:rsidR="002013CF" w:rsidRPr="00C459CC">
              <w:rPr>
                <w:rFonts w:ascii="Times New Roman" w:eastAsia="Times New Roman" w:hAnsi="Times New Roman" w:cs="Times New Roman"/>
                <w:lang w:eastAsia="ro-RO"/>
              </w:rPr>
              <w:t>prin introducerea contractelor de achiziţie derulate de beneficiarii privaţi, atribuite conform Ordinului MFE nr. 1284/2016;</w:t>
            </w:r>
          </w:p>
          <w:p w14:paraId="7E60373B" w14:textId="47F6C46F" w:rsidR="002013CF" w:rsidRPr="00C459CC" w:rsidRDefault="002013CF"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 xml:space="preserve">art. 17, alin. (6) se modifică în sensul </w:t>
            </w:r>
            <w:r w:rsidR="002C6F96" w:rsidRPr="00C459CC">
              <w:rPr>
                <w:rFonts w:ascii="Times New Roman" w:eastAsia="Times New Roman" w:hAnsi="Times New Roman" w:cs="Times New Roman"/>
                <w:lang w:eastAsia="ro-RO"/>
              </w:rPr>
              <w:t>stabilirii</w:t>
            </w:r>
            <w:r w:rsidRPr="00C459CC">
              <w:rPr>
                <w:rFonts w:ascii="Times New Roman" w:eastAsia="Times New Roman" w:hAnsi="Times New Roman" w:cs="Times New Roman"/>
                <w:lang w:eastAsia="ro-RO"/>
              </w:rPr>
              <w:t xml:space="preserve"> termenelor</w:t>
            </w:r>
            <w:r w:rsidR="002C6F96" w:rsidRPr="00C459CC">
              <w:rPr>
                <w:rFonts w:ascii="Times New Roman" w:eastAsia="Times New Roman" w:hAnsi="Times New Roman" w:cs="Times New Roman"/>
                <w:lang w:eastAsia="ro-RO"/>
              </w:rPr>
              <w:t xml:space="preserve"> conform procedurilor INS;</w:t>
            </w:r>
          </w:p>
          <w:p w14:paraId="60DAC31E" w14:textId="2CB5631D" w:rsidR="002C6F96" w:rsidRPr="00C459CC" w:rsidRDefault="002C6F96"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art. 17, lit. b.1), c.1) şi d.1) se modifică şi se completează, după caz, în vederea clarificării termenilor de aplicare;</w:t>
            </w:r>
          </w:p>
          <w:p w14:paraId="45A80C3A" w14:textId="1335169D" w:rsidR="002C6F96" w:rsidRPr="00C459CC" w:rsidRDefault="002C6F96"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art. 19, alin. (4) se modifică prin renunţarea la referinţa de la art. 12;</w:t>
            </w:r>
          </w:p>
          <w:p w14:paraId="76B14F10" w14:textId="347FDB10" w:rsidR="002C6F96" w:rsidRPr="00C459CC" w:rsidRDefault="002C6F96"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art. 21 alin. (1) se corectează pentru unitate terminologică;</w:t>
            </w:r>
          </w:p>
          <w:p w14:paraId="2803CA9B" w14:textId="6DC5E823" w:rsidR="002C6F96" w:rsidRPr="00C459CC" w:rsidRDefault="002C6F96"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art. 33 se modifică pentru corelare termen cu procedurile INS</w:t>
            </w:r>
            <w:r w:rsidR="00057FE6" w:rsidRPr="00C459CC">
              <w:rPr>
                <w:rFonts w:ascii="Times New Roman" w:eastAsia="Times New Roman" w:hAnsi="Times New Roman" w:cs="Times New Roman"/>
                <w:lang w:eastAsia="ro-RO"/>
              </w:rPr>
              <w:t xml:space="preserve"> şi introducerea unor norme aplicabile pȃnă la publicarea de către INS- 180 de zile, a indicelui de cost defalcat pe elemente de cost semnificative</w:t>
            </w:r>
            <w:r w:rsidRPr="00C459CC">
              <w:rPr>
                <w:rFonts w:ascii="Times New Roman" w:eastAsia="Times New Roman" w:hAnsi="Times New Roman" w:cs="Times New Roman"/>
                <w:lang w:eastAsia="ro-RO"/>
              </w:rPr>
              <w:t>;</w:t>
            </w:r>
          </w:p>
          <w:p w14:paraId="0D3ED1EA" w14:textId="01C08236" w:rsidR="002C6F96" w:rsidRPr="00C459CC" w:rsidRDefault="002C6F96"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art. 37 se modifică pentru reglementarea corectă a modalităţii de aplicare a formulei prevăzută de art. 31 în cazul înlocuirii formulei de la art. 17, alin. (8) lit. c.1) şi corelare cu modificarea de la art. 19 alin. (4);</w:t>
            </w:r>
          </w:p>
          <w:p w14:paraId="78795D00" w14:textId="185B5C8F" w:rsidR="00D6530A" w:rsidRPr="00C459CC" w:rsidRDefault="00D6530A" w:rsidP="00533CD3">
            <w:pPr>
              <w:pStyle w:val="ListParagraph"/>
              <w:numPr>
                <w:ilvl w:val="0"/>
                <w:numId w:val="22"/>
              </w:numPr>
              <w:autoSpaceDE w:val="0"/>
              <w:autoSpaceDN w:val="0"/>
              <w:adjustRightInd w:val="0"/>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lastRenderedPageBreak/>
              <w:t>alin. (2) şi (3) ale art. 43 se modifică pentru corectarea împărţitorului şi pentru diminuarea pragului de la care devine necesară reechilibrarea contractuală, luând în considerare faptul că, în practică, majoritatea calculelor indică o diferenţă între 5% si 10% ceea ce conduce la inaplicabilitatea prevederilor ordonanţei de urgenţă;</w:t>
            </w:r>
          </w:p>
          <w:p w14:paraId="250044F0" w14:textId="5C08D4F2" w:rsidR="002E1F19" w:rsidRPr="00C459CC" w:rsidRDefault="00EF4ECD" w:rsidP="00D802AE">
            <w:pPr>
              <w:pStyle w:val="ListParagraph"/>
              <w:rPr>
                <w:lang w:eastAsia="ro-RO"/>
              </w:rPr>
            </w:pPr>
            <w:r w:rsidRPr="00C459CC">
              <w:rPr>
                <w:rFonts w:ascii="Times New Roman" w:eastAsia="Times New Roman" w:hAnsi="Times New Roman" w:cs="Times New Roman"/>
                <w:lang w:eastAsia="ro-RO"/>
              </w:rPr>
              <w:t>Anexa nr. 2 se modifică pentru corectarea indicilor valorii unitare la trim. I 2020 şi trim. II 2020.</w:t>
            </w:r>
            <w:r w:rsidR="00F60956" w:rsidRPr="00C459CC">
              <w:rPr>
                <w:lang w:eastAsia="ro-RO"/>
              </w:rPr>
              <w:t xml:space="preserve">        </w:t>
            </w:r>
          </w:p>
          <w:p w14:paraId="2CB0FF8E" w14:textId="75A65F63" w:rsidR="00916FBD" w:rsidRPr="00C459CC" w:rsidRDefault="004369E0" w:rsidP="00B66071">
            <w:pPr>
              <w:autoSpaceDE w:val="0"/>
              <w:autoSpaceDN w:val="0"/>
              <w:adjustRightInd w:val="0"/>
              <w:ind w:firstLine="459"/>
              <w:jc w:val="both"/>
              <w:rPr>
                <w:lang w:eastAsia="ro-RO"/>
              </w:rPr>
            </w:pPr>
            <w:r w:rsidRPr="00C459CC">
              <w:rPr>
                <w:lang w:eastAsia="ro-RO"/>
              </w:rPr>
              <w:t xml:space="preserve">V. </w:t>
            </w:r>
            <w:r w:rsidR="00916FBD" w:rsidRPr="00C459CC">
              <w:rPr>
                <w:lang w:eastAsia="ro-RO"/>
              </w:rPr>
              <w:t>În ceea ce privește armonizarea unor prevederi din cadrul Ordonanței de urgență a Guvernului nr. 82/2022 privind unele măsuri pentru acordarea de granturi din fonduri externe nerambursabile pentru investiții destinate capacităților de prestare de servicii și retehnologizării, în vederea refacerii capacității de reziliență, s-au avut în vedere: corelarea intensității maxime a ajutorului de stat și a codurilor CAEN privind soldul balanței comerciale, armonizarea terminologică a unor prevederi privind ajutorul de stat în concordanță cu prevederile Comunicării Comisiei Europene – Modificare a Cadrului temporar pentru măsuri de ajutor de stat de sprijinire a economiei în contextul actualei epidemii de COVID-19 (2020/C 112 I/01), publicată în Jurnalul Oficial al Uniunii Europene, seria C, nr. 1211 din 4 aprilie 2020, cu modificările şi completările ulterioare, secțiunea 3.13 din Cadrul Temporar Covid 19 – Sprijin pentru investiții în vederea unei redresări durabile.</w:t>
            </w:r>
            <w:r w:rsidR="00501C53" w:rsidRPr="00C459CC">
              <w:t xml:space="preserve"> De asemenea, a</w:t>
            </w:r>
            <w:r w:rsidR="00501C53" w:rsidRPr="00C459CC">
              <w:rPr>
                <w:lang w:eastAsia="ro-RO"/>
              </w:rPr>
              <w:t>u fost corelate cheltuielile eligibile cu Comunicarea Comisiei Europene — Modificare a Cadrului temporar pentru măsuri de ajutor de stat de sprijinire a economiei în contextul actualei epidemii de COVID-19 (2020/C 112 I/01), publicată în Jurnalul Oficial al Uniunii Europene, seria C, nr. 112I din 4 aprilie 2020, cu modificările și completările ulterioare</w:t>
            </w:r>
          </w:p>
          <w:p w14:paraId="29D2F7E9" w14:textId="3F2BC347" w:rsidR="00B02B56" w:rsidRPr="00C459CC" w:rsidRDefault="00197AD8" w:rsidP="00EF4ECD">
            <w:pPr>
              <w:autoSpaceDE w:val="0"/>
              <w:autoSpaceDN w:val="0"/>
              <w:adjustRightInd w:val="0"/>
              <w:ind w:firstLine="459"/>
              <w:jc w:val="both"/>
              <w:rPr>
                <w:lang w:eastAsia="ro-RO"/>
              </w:rPr>
            </w:pPr>
            <w:r w:rsidRPr="00C459CC">
              <w:rPr>
                <w:lang w:eastAsia="ro-RO"/>
              </w:rPr>
              <w:t>V</w:t>
            </w:r>
            <w:r w:rsidR="00F60956" w:rsidRPr="00C459CC">
              <w:rPr>
                <w:lang w:eastAsia="ro-RO"/>
              </w:rPr>
              <w:t>I</w:t>
            </w:r>
            <w:r w:rsidR="00B02B56" w:rsidRPr="00C459CC">
              <w:rPr>
                <w:lang w:eastAsia="ro-RO"/>
              </w:rPr>
              <w:t>. Ordonanţa de urgenţă a Guvernului nr. 156 / 2020 privind unele măsuri pentru susţinerea dezvoltării teritoriale a localităţilor urbane şi rurale din România cu finanţare din fonduri externe nerambursabile, în speţă articolul 7, se modifică pentru clarificarea tipului de cheltuieli neeligibile care  se stabilesc în sarcina autorităţii de management în procent de 75% din valoarea plăţilor efectuate din investiţia de bază, aferente capitolului 4 din devizul general. In acest sens se autorizează ordonatorii principali de credite cu rol de autoritate de management să cuprindă în bugetele proprii sumele necesare efectuării acestor plăţi.</w:t>
            </w:r>
          </w:p>
          <w:p w14:paraId="352604EA" w14:textId="17586246" w:rsidR="00B02B56" w:rsidRPr="00C459CC" w:rsidRDefault="00197AD8" w:rsidP="00B02B56">
            <w:pPr>
              <w:autoSpaceDE w:val="0"/>
              <w:autoSpaceDN w:val="0"/>
              <w:adjustRightInd w:val="0"/>
              <w:ind w:firstLine="459"/>
              <w:jc w:val="both"/>
              <w:rPr>
                <w:lang w:eastAsia="ro-RO"/>
              </w:rPr>
            </w:pPr>
            <w:r w:rsidRPr="00C459CC">
              <w:rPr>
                <w:lang w:eastAsia="ro-RO"/>
              </w:rPr>
              <w:t>VI</w:t>
            </w:r>
            <w:r w:rsidR="00F60956" w:rsidRPr="00C459CC">
              <w:rPr>
                <w:lang w:eastAsia="ro-RO"/>
              </w:rPr>
              <w:t>I</w:t>
            </w:r>
            <w:r w:rsidR="00B02B56" w:rsidRPr="00C459CC">
              <w:rPr>
                <w:lang w:eastAsia="ro-RO"/>
              </w:rPr>
              <w:t xml:space="preserve">. Ordonanţa de urgenţă a Guvernului nr. 40/ 2015 privind gestionarea financiară a fondurilor europene pentru perioada de programare 2014-2020 a rezultat necesitatea introducerii unor completări </w:t>
            </w:r>
            <w:r w:rsidR="00DE6B95" w:rsidRPr="00C459CC">
              <w:rPr>
                <w:lang w:eastAsia="ro-RO"/>
              </w:rPr>
              <w:t>şi</w:t>
            </w:r>
            <w:r w:rsidR="00B02B56" w:rsidRPr="00C459CC">
              <w:rPr>
                <w:lang w:eastAsia="ro-RO"/>
              </w:rPr>
              <w:t xml:space="preserve"> modificări întrucât există deja decizii definitive și irevocabile prin care instanța acordă pretențiile solicitanților de finanțare, iar în momentul de față se află pe rolul instanțelor mai multe procese prin care solicitanții de finanțare respinși în etapa de evaluare tehnică sau precontractare solicită plata cheltuielilor de judecată, plata onorariilor avocaților, plata de daune interese, reconsiderarea cheltuielilor stabilite ca neeligibile in procesul de evaluare, etc.  </w:t>
            </w:r>
          </w:p>
          <w:p w14:paraId="7DF71A28" w14:textId="5DBDD829" w:rsidR="00B02B56" w:rsidRPr="00C459CC" w:rsidRDefault="00B02B56" w:rsidP="00B02B56">
            <w:pPr>
              <w:autoSpaceDE w:val="0"/>
              <w:autoSpaceDN w:val="0"/>
              <w:adjustRightInd w:val="0"/>
              <w:ind w:firstLine="459"/>
              <w:jc w:val="both"/>
              <w:rPr>
                <w:lang w:eastAsia="ro-RO"/>
              </w:rPr>
            </w:pPr>
            <w:r w:rsidRPr="00C459CC">
              <w:rPr>
                <w:lang w:eastAsia="ro-RO"/>
              </w:rPr>
              <w:t>Modificarea legislativă propusă are în vedere limitarea sumelor care ar putea fi plătite solicitanților respinși în etapele de precontractare sau contractare, în condițiile în care executarea hotărârii definitive se face de bunăvoie în termenul prevăzut în cuprinsul acesteia  sau se duce la îndeplinire prin executare silită. Evidențiem faptul că executarea silită are loc în oricare dintre formele prevăzute de lege, simultan sau succesiv, până la realizarea dreptului recunoscut prin titlul executoriu, achitarea dobânzilor, penalităților sau a altor sume acordate potrivit legii prin titlu, precum şi a cheltuielilor de executare .</w:t>
            </w:r>
          </w:p>
          <w:p w14:paraId="571A7E86" w14:textId="55B63D90" w:rsidR="00B02B56" w:rsidRPr="00C459CC" w:rsidRDefault="00B02B56" w:rsidP="00B02B56">
            <w:pPr>
              <w:autoSpaceDE w:val="0"/>
              <w:autoSpaceDN w:val="0"/>
              <w:adjustRightInd w:val="0"/>
              <w:ind w:firstLine="459"/>
              <w:jc w:val="both"/>
              <w:rPr>
                <w:lang w:eastAsia="ro-RO"/>
              </w:rPr>
            </w:pPr>
            <w:r w:rsidRPr="00C459CC">
              <w:rPr>
                <w:lang w:eastAsia="ro-RO"/>
              </w:rPr>
              <w:t>De asemenea, introducerea articolului 12^3</w:t>
            </w:r>
            <w:r w:rsidRPr="00C459CC">
              <w:t xml:space="preserve"> </w:t>
            </w:r>
            <w:r w:rsidRPr="00C459CC">
              <w:rPr>
                <w:lang w:eastAsia="ro-RO"/>
              </w:rPr>
              <w:t>este  necesară întrucât după atingerea pragului de absorbție de 100% la nivelul unei axe prioritare sumele plătite beneficiarilor în limita procentului de supracontractare aprobat pentru programele operaționale nu pot fi incluse în aplicații de plată. Pentru e evita ca aceste sume să rămână cheltuieli definitive în sarcina bugetului de stat, autoritățile de management vor efectua analize la nivelul axelor prioritare și vor propune modificarea programelor operaționale care să cuprindă realocări de fonduri între axele prioritare astfel încât să se asigure  o absorbția cat mai ridicată a fondurilor europene.</w:t>
            </w:r>
          </w:p>
          <w:p w14:paraId="0CEF5A2E" w14:textId="4BC5492C" w:rsidR="00F60956" w:rsidRPr="00C459CC" w:rsidRDefault="00F60956" w:rsidP="00B02B56">
            <w:pPr>
              <w:autoSpaceDE w:val="0"/>
              <w:autoSpaceDN w:val="0"/>
              <w:adjustRightInd w:val="0"/>
              <w:ind w:firstLine="459"/>
              <w:jc w:val="both"/>
              <w:rPr>
                <w:lang w:eastAsia="ro-RO"/>
              </w:rPr>
            </w:pPr>
            <w:r w:rsidRPr="00C459CC">
              <w:rPr>
                <w:lang w:eastAsia="ro-RO"/>
              </w:rPr>
              <w:t>Totodată, pentru accelerarea ritmului plăţilor beneficiarilor</w:t>
            </w:r>
            <w:r w:rsidR="00057FE6" w:rsidRPr="00C459CC">
              <w:rPr>
                <w:lang w:eastAsia="ro-RO"/>
              </w:rPr>
              <w:t xml:space="preserve"> operatori regionali</w:t>
            </w:r>
            <w:r w:rsidRPr="00C459CC">
              <w:rPr>
                <w:lang w:eastAsia="ro-RO"/>
              </w:rPr>
              <w:t xml:space="preserve"> către contractori, se modifică şi dispoziţiile art. 15</w:t>
            </w:r>
            <w:r w:rsidR="00057FE6" w:rsidRPr="00C459CC">
              <w:rPr>
                <w:lang w:eastAsia="ro-RO"/>
              </w:rPr>
              <w:t xml:space="preserve"> </w:t>
            </w:r>
            <w:r w:rsidRPr="00C459CC">
              <w:rPr>
                <w:lang w:eastAsia="ro-RO"/>
              </w:rPr>
              <w:t>prin creşterea procentului aferent prefinanţării de la 10% la 30%.</w:t>
            </w:r>
          </w:p>
          <w:p w14:paraId="3D6AEEA8" w14:textId="34BEDB17" w:rsidR="00F60956" w:rsidRPr="00C459CC" w:rsidRDefault="00F60956" w:rsidP="00C417E1">
            <w:pPr>
              <w:autoSpaceDE w:val="0"/>
              <w:autoSpaceDN w:val="0"/>
              <w:adjustRightInd w:val="0"/>
              <w:ind w:firstLine="459"/>
              <w:jc w:val="both"/>
              <w:rPr>
                <w:lang w:eastAsia="ro-RO"/>
              </w:rPr>
            </w:pPr>
            <w:r w:rsidRPr="00C459CC">
              <w:rPr>
                <w:lang w:eastAsia="ro-RO"/>
              </w:rPr>
              <w:t>VIII.</w:t>
            </w:r>
            <w:r w:rsidRPr="00C459CC">
              <w:t xml:space="preserve"> </w:t>
            </w:r>
            <w:r w:rsidRPr="00C459CC">
              <w:rPr>
                <w:lang w:eastAsia="ro-RO"/>
              </w:rPr>
              <w:t xml:space="preserve">La articolul 2, alineatul (4) din Ordonanţa Guvernului nr. 15/ 2013 privind reglementarea unor măsuri fiscal-bugetare pentru suportarea de la bugetul de stat a sumelor aferente reducerilor </w:t>
            </w:r>
            <w:r w:rsidRPr="00C459CC">
              <w:rPr>
                <w:lang w:eastAsia="ro-RO"/>
              </w:rPr>
              <w:lastRenderedPageBreak/>
              <w:t xml:space="preserve">procentuale şi corecţiilor financiare aplicate pentru abaterile de la conformitatea cu legislaţia din domeniul achiziţiilor publice pentru Programul operaţional sectorial Mediu 2007-2013 şi pentru Programul operaţional Infrastructură mare 2014-2020 se modifică data de referinţă, respectiv, în cazul contractelor de achiziţie publică de lucrări, încheiate de beneficiarii prevăzuţi la art. 1, în cadrul Programului operaţional Infrastructură mare 2014-2020, pentru care au fost stabilite corecţii financiare sau reduceri procentuale, ca urmare a constatării existenţei în documentaţia de atribuire a unor cerinţe restrictive, care conduc la restrângerea concurenţei, prin includerea unor standarde sau specificaţii tehnice fără menţiunea «sau echivalent», </w:t>
            </w:r>
            <w:r w:rsidRPr="00C459CC">
              <w:rPr>
                <w:u w:val="single"/>
                <w:lang w:eastAsia="ro-RO"/>
              </w:rPr>
              <w:t>dacă procedura de achiziţie publică a fost lansată anterior datei de 1 iulie 2020, data emiterii de către Autoritatea de Management a Programului Operaţional Infrastructură Mare a Instrucţiunii nr. 31/2020, urmare a transmiterii de către Comisia Europeană a Raportului final ARES(2020) 1625280</w:t>
            </w:r>
            <w:r w:rsidR="00C417E1" w:rsidRPr="00C459CC">
              <w:rPr>
                <w:u w:val="single"/>
                <w:lang w:eastAsia="ro-RO"/>
              </w:rPr>
              <w:t>2.</w:t>
            </w:r>
            <w:r w:rsidRPr="00C459CC">
              <w:rPr>
                <w:lang w:eastAsia="ro-RO"/>
              </w:rPr>
              <w:t xml:space="preserve"> Motivaţia avută în vedere constă în faptul că</w:t>
            </w:r>
            <w:r w:rsidRPr="00C459CC">
              <w:t xml:space="preserve"> </w:t>
            </w:r>
            <w:r w:rsidRPr="00C459CC">
              <w:rPr>
                <w:lang w:eastAsia="ro-RO"/>
              </w:rPr>
              <w:t>Raportul final ARES(2020) 16252802 al CE nu fost un document public.</w:t>
            </w:r>
          </w:p>
          <w:p w14:paraId="6B0EB0A8" w14:textId="545A7822" w:rsidR="0043660A" w:rsidRPr="00C459CC" w:rsidRDefault="00551930" w:rsidP="00C417E1">
            <w:pPr>
              <w:autoSpaceDE w:val="0"/>
              <w:autoSpaceDN w:val="0"/>
              <w:adjustRightInd w:val="0"/>
              <w:ind w:firstLine="459"/>
              <w:jc w:val="both"/>
              <w:rPr>
                <w:lang w:eastAsia="ro-RO"/>
              </w:rPr>
            </w:pPr>
            <w:r w:rsidRPr="00C459CC">
              <w:rPr>
                <w:lang w:eastAsia="ro-RO"/>
              </w:rPr>
              <w:t xml:space="preserve">X. </w:t>
            </w:r>
            <w:r w:rsidR="00C07EBD" w:rsidRPr="00C459CC">
              <w:rPr>
                <w:lang w:eastAsia="ro-RO"/>
              </w:rPr>
              <w:t xml:space="preserve">Modificarea Legii nr. 265/2008 privind gestionarea siguranţei circulaţiei pe infrastructura rutieră, republicată, </w:t>
            </w:r>
            <w:r w:rsidR="009E18FD" w:rsidRPr="00C459CC">
              <w:rPr>
                <w:lang w:eastAsia="ro-RO"/>
              </w:rPr>
              <w:t xml:space="preserve">are în vedere eliminarea </w:t>
            </w:r>
            <w:r w:rsidR="006D0CA2" w:rsidRPr="00C459CC">
              <w:rPr>
                <w:lang w:eastAsia="ro-RO"/>
              </w:rPr>
              <w:t>obligativităţ</w:t>
            </w:r>
            <w:r w:rsidR="009E18FD" w:rsidRPr="00C459CC">
              <w:rPr>
                <w:lang w:eastAsia="ro-RO"/>
              </w:rPr>
              <w:t>ii efectuă</w:t>
            </w:r>
            <w:r w:rsidR="0043660A" w:rsidRPr="00C459CC">
              <w:rPr>
                <w:lang w:eastAsia="ro-RO"/>
              </w:rPr>
              <w:t xml:space="preserve">rii </w:t>
            </w:r>
            <w:r w:rsidR="009E18FD" w:rsidRPr="00C459CC">
              <w:rPr>
                <w:lang w:eastAsia="ro-RO"/>
              </w:rPr>
              <w:t xml:space="preserve">studiului </w:t>
            </w:r>
            <w:r w:rsidR="0043660A" w:rsidRPr="00C459CC">
              <w:rPr>
                <w:lang w:eastAsia="ro-RO"/>
              </w:rPr>
              <w:t xml:space="preserve">“Evaluarea de impact asupra siguranţei rutiere şi auditul de siguranţă </w:t>
            </w:r>
            <w:r w:rsidR="009E18FD" w:rsidRPr="00C459CC">
              <w:rPr>
                <w:lang w:eastAsia="ro-RO"/>
              </w:rPr>
              <w:t>rutieră”, pentru drumurile judeţ</w:t>
            </w:r>
            <w:r w:rsidR="0043660A" w:rsidRPr="00C459CC">
              <w:rPr>
                <w:lang w:eastAsia="ro-RO"/>
              </w:rPr>
              <w:t xml:space="preserve">ene. </w:t>
            </w:r>
            <w:r w:rsidR="009E18FD" w:rsidRPr="00C459CC">
              <w:rPr>
                <w:lang w:eastAsia="ro-RO"/>
              </w:rPr>
              <w:t>A</w:t>
            </w:r>
            <w:r w:rsidR="00C07EBD" w:rsidRPr="00C459CC">
              <w:rPr>
                <w:lang w:eastAsia="ro-RO"/>
              </w:rPr>
              <w:t xml:space="preserve">utoritatea </w:t>
            </w:r>
            <w:r w:rsidR="009E18FD" w:rsidRPr="00C459CC">
              <w:rPr>
                <w:lang w:eastAsia="ro-RO"/>
              </w:rPr>
              <w:t>R</w:t>
            </w:r>
            <w:r w:rsidR="00C07EBD" w:rsidRPr="00C459CC">
              <w:rPr>
                <w:lang w:eastAsia="ro-RO"/>
              </w:rPr>
              <w:t xml:space="preserve">utieră </w:t>
            </w:r>
            <w:r w:rsidR="009E18FD" w:rsidRPr="00C459CC">
              <w:rPr>
                <w:lang w:eastAsia="ro-RO"/>
              </w:rPr>
              <w:t>R</w:t>
            </w:r>
            <w:r w:rsidR="00C07EBD" w:rsidRPr="00C459CC">
              <w:rPr>
                <w:lang w:eastAsia="ro-RO"/>
              </w:rPr>
              <w:t>omȃnă</w:t>
            </w:r>
            <w:r w:rsidR="009E18FD" w:rsidRPr="00C459CC">
              <w:rPr>
                <w:lang w:eastAsia="ro-RO"/>
              </w:rPr>
              <w:t xml:space="preserve"> nu are capacitatea</w:t>
            </w:r>
            <w:r w:rsidR="0043660A" w:rsidRPr="00C459CC">
              <w:rPr>
                <w:lang w:eastAsia="ro-RO"/>
              </w:rPr>
              <w:t xml:space="preserve"> </w:t>
            </w:r>
            <w:r w:rsidR="009E18FD" w:rsidRPr="00C459CC">
              <w:rPr>
                <w:lang w:eastAsia="ro-RO"/>
              </w:rPr>
              <w:t>în prezent să</w:t>
            </w:r>
            <w:r w:rsidR="0043660A" w:rsidRPr="00C459CC">
              <w:rPr>
                <w:lang w:eastAsia="ro-RO"/>
              </w:rPr>
              <w:t xml:space="preserve"> </w:t>
            </w:r>
            <w:r w:rsidR="009E18FD" w:rsidRPr="00C459CC">
              <w:rPr>
                <w:lang w:eastAsia="ro-RO"/>
              </w:rPr>
              <w:t>realizeze aces</w:t>
            </w:r>
            <w:r w:rsidR="00A85144" w:rsidRPr="00C459CC">
              <w:rPr>
                <w:lang w:eastAsia="ro-RO"/>
              </w:rPr>
              <w:t>te auditări de siguranta rutieră,</w:t>
            </w:r>
            <w:r w:rsidR="009E18FD" w:rsidRPr="00C459CC">
              <w:rPr>
                <w:lang w:eastAsia="ro-RO"/>
              </w:rPr>
              <w:t xml:space="preserve"> î</w:t>
            </w:r>
            <w:r w:rsidR="0043660A" w:rsidRPr="00C459CC">
              <w:rPr>
                <w:lang w:eastAsia="ro-RO"/>
              </w:rPr>
              <w:t>n toate cele 4 etape</w:t>
            </w:r>
            <w:r w:rsidR="00A85144" w:rsidRPr="00C459CC">
              <w:rPr>
                <w:lang w:eastAsia="ro-RO"/>
              </w:rPr>
              <w:t xml:space="preserve">, pentru </w:t>
            </w:r>
            <w:r w:rsidR="0043660A" w:rsidRPr="00C459CC">
              <w:rPr>
                <w:lang w:eastAsia="ro-RO"/>
              </w:rPr>
              <w:t>drumurile judeten</w:t>
            </w:r>
            <w:r w:rsidR="00A85144" w:rsidRPr="00C459CC">
              <w:rPr>
                <w:lang w:eastAsia="ro-RO"/>
              </w:rPr>
              <w:t>e. Prin această modificare se intenţionează înlăturarea unui impediment</w:t>
            </w:r>
            <w:r w:rsidR="006D0CA2" w:rsidRPr="00C459CC">
              <w:rPr>
                <w:lang w:eastAsia="ro-RO"/>
              </w:rPr>
              <w:t xml:space="preserve"> major</w:t>
            </w:r>
            <w:r w:rsidR="00A85144" w:rsidRPr="00C459CC">
              <w:rPr>
                <w:lang w:eastAsia="ro-RO"/>
              </w:rPr>
              <w:t xml:space="preserve"> în</w:t>
            </w:r>
            <w:r w:rsidR="0043660A" w:rsidRPr="00C459CC">
              <w:rPr>
                <w:lang w:eastAsia="ro-RO"/>
              </w:rPr>
              <w:t xml:space="preserve"> depuner</w:t>
            </w:r>
            <w:r w:rsidR="006D0CA2" w:rsidRPr="00C459CC">
              <w:rPr>
                <w:lang w:eastAsia="ro-RO"/>
              </w:rPr>
              <w:t>ea proiectelor de infrastructură rutieră</w:t>
            </w:r>
            <w:r w:rsidR="0043660A" w:rsidRPr="00C459CC">
              <w:rPr>
                <w:lang w:eastAsia="ro-RO"/>
              </w:rPr>
              <w:t xml:space="preserve"> pe</w:t>
            </w:r>
            <w:r w:rsidR="00A85144" w:rsidRPr="00C459CC">
              <w:rPr>
                <w:lang w:eastAsia="ro-RO"/>
              </w:rPr>
              <w:t>ntru</w:t>
            </w:r>
            <w:r w:rsidR="0043660A" w:rsidRPr="00C459CC">
              <w:rPr>
                <w:lang w:eastAsia="ro-RO"/>
              </w:rPr>
              <w:t xml:space="preserve"> </w:t>
            </w:r>
            <w:r w:rsidR="00A85144" w:rsidRPr="00C459CC">
              <w:rPr>
                <w:lang w:eastAsia="ro-RO"/>
              </w:rPr>
              <w:t>următoarea perioadă de programare, 2021-2027.</w:t>
            </w:r>
          </w:p>
          <w:p w14:paraId="00278FC6" w14:textId="2D9C1E6F" w:rsidR="0061096F" w:rsidRPr="00C459CC" w:rsidRDefault="00C417E1" w:rsidP="00C417E1">
            <w:pPr>
              <w:autoSpaceDE w:val="0"/>
              <w:autoSpaceDN w:val="0"/>
              <w:adjustRightInd w:val="0"/>
              <w:ind w:firstLine="459"/>
              <w:jc w:val="both"/>
              <w:rPr>
                <w:lang w:eastAsia="ro-RO"/>
              </w:rPr>
            </w:pPr>
            <w:r w:rsidRPr="00C459CC">
              <w:rPr>
                <w:lang w:eastAsia="ro-RO"/>
              </w:rPr>
              <w:t xml:space="preserve">4 Alte informații </w:t>
            </w:r>
          </w:p>
          <w:p w14:paraId="45862F79" w14:textId="37A08FE7" w:rsidR="00A902E1" w:rsidRPr="00C459CC" w:rsidRDefault="00DD5E00" w:rsidP="00B66071">
            <w:pPr>
              <w:pStyle w:val="ListParagraph"/>
              <w:autoSpaceDE w:val="0"/>
              <w:autoSpaceDN w:val="0"/>
              <w:adjustRightInd w:val="0"/>
              <w:ind w:left="0" w:firstLine="459"/>
              <w:jc w:val="both"/>
              <w:rPr>
                <w:rFonts w:ascii="Times New Roman" w:eastAsia="Times New Roman" w:hAnsi="Times New Roman" w:cs="Times New Roman"/>
                <w:lang w:eastAsia="ro-RO"/>
              </w:rPr>
            </w:pPr>
            <w:r w:rsidRPr="00C459CC">
              <w:rPr>
                <w:rFonts w:ascii="Times New Roman" w:eastAsia="Times New Roman" w:hAnsi="Times New Roman" w:cs="Times New Roman"/>
                <w:lang w:eastAsia="ro-RO"/>
              </w:rPr>
              <w:t>Nu au fost identificate</w:t>
            </w:r>
          </w:p>
        </w:tc>
      </w:tr>
      <w:tr w:rsidR="00DB2014" w:rsidRPr="00C459CC" w14:paraId="387E2B19" w14:textId="77777777" w:rsidTr="006C32FE">
        <w:trPr>
          <w:gridAfter w:val="1"/>
          <w:wAfter w:w="20" w:type="dxa"/>
          <w:trHeight w:val="841"/>
        </w:trPr>
        <w:tc>
          <w:tcPr>
            <w:tcW w:w="9923" w:type="dxa"/>
            <w:gridSpan w:val="7"/>
          </w:tcPr>
          <w:p w14:paraId="6CE741BB" w14:textId="77777777" w:rsidR="00034C5B" w:rsidRPr="00C459CC" w:rsidRDefault="00034C5B" w:rsidP="00B66071">
            <w:pPr>
              <w:autoSpaceDE w:val="0"/>
              <w:autoSpaceDN w:val="0"/>
              <w:adjustRightInd w:val="0"/>
              <w:jc w:val="center"/>
              <w:rPr>
                <w:b/>
                <w:i/>
                <w:lang w:eastAsia="ro-RO"/>
              </w:rPr>
            </w:pPr>
          </w:p>
          <w:p w14:paraId="47337817" w14:textId="77777777" w:rsidR="00034C5B" w:rsidRPr="00C459CC" w:rsidRDefault="00034C5B" w:rsidP="00B66071">
            <w:pPr>
              <w:autoSpaceDE w:val="0"/>
              <w:autoSpaceDN w:val="0"/>
              <w:adjustRightInd w:val="0"/>
              <w:jc w:val="center"/>
              <w:rPr>
                <w:b/>
                <w:i/>
                <w:lang w:eastAsia="ro-RO"/>
              </w:rPr>
            </w:pPr>
          </w:p>
          <w:p w14:paraId="47C540CE" w14:textId="77777777" w:rsidR="00034C5B" w:rsidRPr="00C459CC" w:rsidRDefault="00034C5B" w:rsidP="00B66071">
            <w:pPr>
              <w:autoSpaceDE w:val="0"/>
              <w:autoSpaceDN w:val="0"/>
              <w:adjustRightInd w:val="0"/>
              <w:jc w:val="center"/>
              <w:rPr>
                <w:b/>
                <w:i/>
                <w:lang w:eastAsia="ro-RO"/>
              </w:rPr>
            </w:pPr>
          </w:p>
          <w:p w14:paraId="31C29329" w14:textId="77777777" w:rsidR="00034C5B" w:rsidRPr="00C459CC" w:rsidRDefault="00034C5B" w:rsidP="00B66071">
            <w:pPr>
              <w:autoSpaceDE w:val="0"/>
              <w:autoSpaceDN w:val="0"/>
              <w:adjustRightInd w:val="0"/>
              <w:jc w:val="center"/>
              <w:rPr>
                <w:b/>
                <w:i/>
                <w:lang w:eastAsia="ro-RO"/>
              </w:rPr>
            </w:pPr>
          </w:p>
          <w:p w14:paraId="3A15009D" w14:textId="7553FA9F" w:rsidR="00B66071" w:rsidRPr="00C459CC" w:rsidRDefault="00B66071" w:rsidP="00B66071">
            <w:pPr>
              <w:autoSpaceDE w:val="0"/>
              <w:autoSpaceDN w:val="0"/>
              <w:adjustRightInd w:val="0"/>
              <w:jc w:val="center"/>
              <w:rPr>
                <w:b/>
                <w:i/>
                <w:lang w:eastAsia="ro-RO"/>
              </w:rPr>
            </w:pPr>
            <w:r w:rsidRPr="00C459CC">
              <w:rPr>
                <w:b/>
                <w:i/>
                <w:lang w:eastAsia="ro-RO"/>
              </w:rPr>
              <w:t>Secțiunea a 3-a</w:t>
            </w:r>
          </w:p>
          <w:p w14:paraId="68344669" w14:textId="2DA9FE2C" w:rsidR="00B66071" w:rsidRPr="00C459CC" w:rsidRDefault="00B66071" w:rsidP="006C32FE">
            <w:pPr>
              <w:autoSpaceDE w:val="0"/>
              <w:autoSpaceDN w:val="0"/>
              <w:adjustRightInd w:val="0"/>
              <w:jc w:val="center"/>
              <w:rPr>
                <w:lang w:eastAsia="ro-RO"/>
              </w:rPr>
            </w:pPr>
            <w:r w:rsidRPr="00C459CC">
              <w:rPr>
                <w:b/>
                <w:i/>
                <w:lang w:eastAsia="ro-RO"/>
              </w:rPr>
              <w:t>Impactul socioeconomic</w:t>
            </w:r>
          </w:p>
        </w:tc>
      </w:tr>
      <w:tr w:rsidR="00F72189" w:rsidRPr="00C459CC" w14:paraId="4F7B7B5A" w14:textId="77777777" w:rsidTr="006C32FE">
        <w:trPr>
          <w:gridAfter w:val="1"/>
          <w:wAfter w:w="20" w:type="dxa"/>
        </w:trPr>
        <w:tc>
          <w:tcPr>
            <w:tcW w:w="9923" w:type="dxa"/>
            <w:gridSpan w:val="7"/>
          </w:tcPr>
          <w:p w14:paraId="612A275C" w14:textId="3E0599E4" w:rsidR="00F72189" w:rsidRPr="00C459CC" w:rsidRDefault="00DB715E" w:rsidP="003645BA">
            <w:pPr>
              <w:jc w:val="both"/>
              <w:rPr>
                <w:b/>
              </w:rPr>
            </w:pPr>
            <w:r w:rsidRPr="00C459CC">
              <w:rPr>
                <w:b/>
              </w:rPr>
              <w:t xml:space="preserve">   </w:t>
            </w:r>
            <w:r w:rsidR="007C16BF" w:rsidRPr="00C459CC">
              <w:rPr>
                <w:b/>
              </w:rPr>
              <w:t xml:space="preserve">   </w:t>
            </w:r>
            <w:r w:rsidR="00F72189" w:rsidRPr="00C459CC">
              <w:rPr>
                <w:b/>
              </w:rPr>
              <w:t>3.1 Descrierea generală a beneficiilor și costurilor estimate ca urmare a intrării în vigoare a actului normativ</w:t>
            </w:r>
          </w:p>
          <w:p w14:paraId="7C3000C8" w14:textId="09688D27" w:rsidR="00DD5E00" w:rsidRPr="00C459CC" w:rsidRDefault="00CD242A" w:rsidP="003645BA">
            <w:pPr>
              <w:jc w:val="both"/>
              <w:rPr>
                <w:b/>
                <w:bCs/>
              </w:rPr>
            </w:pPr>
            <w:r w:rsidRPr="00C459CC">
              <w:t>Prezentul</w:t>
            </w:r>
            <w:r w:rsidR="00DD5E00" w:rsidRPr="00C459CC">
              <w:t xml:space="preserve"> act normativ nu se referă la acest subiect.</w:t>
            </w:r>
          </w:p>
          <w:p w14:paraId="0675353F" w14:textId="77777777" w:rsidR="00F72189" w:rsidRPr="00C459CC" w:rsidRDefault="00F72189" w:rsidP="003645BA">
            <w:pPr>
              <w:jc w:val="both"/>
              <w:rPr>
                <w:b/>
              </w:rPr>
            </w:pPr>
            <w:r w:rsidRPr="00C459CC">
              <w:rPr>
                <w:b/>
              </w:rPr>
              <w:t>3.2 Impactul social</w:t>
            </w:r>
          </w:p>
          <w:p w14:paraId="49A1440B" w14:textId="04A7D18E" w:rsidR="00DD5E00" w:rsidRPr="00C459CC" w:rsidRDefault="00CD242A" w:rsidP="003645BA">
            <w:pPr>
              <w:jc w:val="both"/>
              <w:rPr>
                <w:b/>
                <w:bCs/>
              </w:rPr>
            </w:pPr>
            <w:r w:rsidRPr="00C459CC">
              <w:t xml:space="preserve">Prezentul </w:t>
            </w:r>
            <w:r w:rsidR="00DD5E00" w:rsidRPr="00C459CC">
              <w:t>act normativ nu se referă la acest subiect.</w:t>
            </w:r>
          </w:p>
          <w:p w14:paraId="039A336E" w14:textId="465A748A" w:rsidR="00A902E1" w:rsidRPr="00C459CC" w:rsidRDefault="00916FBD" w:rsidP="00B926A1">
            <w:pPr>
              <w:pStyle w:val="Heading1"/>
              <w:spacing w:line="240" w:lineRule="auto"/>
              <w:rPr>
                <w:b/>
                <w:bCs/>
                <w:sz w:val="24"/>
              </w:rPr>
            </w:pPr>
            <w:r w:rsidRPr="00C459CC">
              <w:rPr>
                <w:b/>
                <w:sz w:val="24"/>
              </w:rPr>
              <w:t>3.3</w:t>
            </w:r>
            <w:r w:rsidRPr="00C459CC">
              <w:rPr>
                <w:sz w:val="24"/>
              </w:rPr>
              <w:t xml:space="preserve"> </w:t>
            </w:r>
            <w:r w:rsidR="00F72189" w:rsidRPr="00C459CC">
              <w:rPr>
                <w:b/>
                <w:bCs/>
                <w:sz w:val="24"/>
              </w:rPr>
              <w:t xml:space="preserve">Impactul asupra drepturilor și libertăților fundamentale ale omului </w:t>
            </w:r>
          </w:p>
          <w:p w14:paraId="642A84C5" w14:textId="77777777" w:rsidR="004369E0" w:rsidRPr="00C459CC" w:rsidRDefault="00CD242A" w:rsidP="00916FBD">
            <w:pPr>
              <w:jc w:val="both"/>
            </w:pPr>
            <w:r w:rsidRPr="00C459CC">
              <w:t xml:space="preserve">Prezentul </w:t>
            </w:r>
            <w:r w:rsidR="00DD5E00" w:rsidRPr="00C459CC">
              <w:t>act normativ nu se referă la acest subiect.</w:t>
            </w:r>
          </w:p>
          <w:p w14:paraId="139B6ECC" w14:textId="50764464" w:rsidR="00FB45DC" w:rsidRPr="00C459CC" w:rsidRDefault="00916FBD" w:rsidP="00916FBD">
            <w:pPr>
              <w:jc w:val="both"/>
              <w:rPr>
                <w:b/>
              </w:rPr>
            </w:pPr>
            <w:r w:rsidRPr="00C459CC">
              <w:rPr>
                <w:b/>
              </w:rPr>
              <w:t xml:space="preserve">3.4 </w:t>
            </w:r>
            <w:r w:rsidR="00FD3526" w:rsidRPr="00C459CC">
              <w:rPr>
                <w:b/>
              </w:rPr>
              <w:t>Impactul macroeconomic</w:t>
            </w:r>
          </w:p>
          <w:p w14:paraId="298655FD" w14:textId="1EF6DC4B" w:rsidR="00736249" w:rsidRPr="00C459CC" w:rsidRDefault="00243D26" w:rsidP="003645BA">
            <w:pPr>
              <w:ind w:firstLine="318"/>
              <w:jc w:val="both"/>
            </w:pPr>
            <w:r w:rsidRPr="00C459CC">
              <w:t>Finanţarea de tranziţie între cele două perioade de programare</w:t>
            </w:r>
            <w:r w:rsidR="00736249" w:rsidRPr="00C459CC">
              <w:t xml:space="preserve"> </w:t>
            </w:r>
            <w:r w:rsidRPr="00C459CC">
              <w:t xml:space="preserve">pentru </w:t>
            </w:r>
            <w:r w:rsidR="00736249" w:rsidRPr="00C459CC">
              <w:t>proiectel</w:t>
            </w:r>
            <w:r w:rsidRPr="00C459CC">
              <w:t>e</w:t>
            </w:r>
            <w:r w:rsidR="00736249" w:rsidRPr="00C459CC">
              <w:t xml:space="preserve"> aflate în </w:t>
            </w:r>
            <w:r w:rsidRPr="00C459CC">
              <w:t xml:space="preserve">cauză </w:t>
            </w:r>
            <w:r w:rsidR="00736249" w:rsidRPr="00C459CC">
              <w:t xml:space="preserve">reprezintă o nevoie reală </w:t>
            </w:r>
            <w:r w:rsidRPr="00C459CC">
              <w:t xml:space="preserve">şi </w:t>
            </w:r>
            <w:r w:rsidR="00736249" w:rsidRPr="00C459CC">
              <w:t>pentru domeniul construcțiilor, cu impact major asupra echilibrelor macroeconimoce ale României.</w:t>
            </w:r>
          </w:p>
          <w:p w14:paraId="219D9E9B" w14:textId="0E599D5E" w:rsidR="00736249" w:rsidRPr="00C459CC" w:rsidRDefault="00736249" w:rsidP="003645BA">
            <w:pPr>
              <w:ind w:firstLine="318"/>
              <w:jc w:val="both"/>
            </w:pPr>
            <w:r w:rsidRPr="00C459CC">
              <w:t>Măsurile de sprijin acordate prin prezenta ordonanță pentru relansarea activității economice la nivel național influențează direct capacitatea entităților din domeniul construcțiilor, iar neadoptarea acestor măsuri de sprijin va avea ca efect grave dificultăți în desfășurarea activităților, cu impact direct asupra veniturilor la bugetului de stat, dar și asupra ratei șomajului la nive național.</w:t>
            </w:r>
          </w:p>
          <w:p w14:paraId="0C2C5A00" w14:textId="7F6DE51C" w:rsidR="00736249" w:rsidRPr="00C459CC" w:rsidRDefault="00736249" w:rsidP="003645BA">
            <w:pPr>
              <w:autoSpaceDE w:val="0"/>
              <w:autoSpaceDN w:val="0"/>
              <w:adjustRightInd w:val="0"/>
              <w:ind w:firstLine="318"/>
              <w:jc w:val="both"/>
              <w:rPr>
                <w:lang w:eastAsia="en-GB"/>
              </w:rPr>
            </w:pPr>
            <w:r w:rsidRPr="00C459CC">
              <w:rPr>
                <w:lang w:eastAsia="en-GB"/>
              </w:rPr>
              <w:t xml:space="preserve">Rezultatele acestor măsuri vor avea ca efect menținerea în activitate </w:t>
            </w:r>
            <w:r w:rsidR="00615991" w:rsidRPr="00C459CC">
              <w:rPr>
                <w:lang w:eastAsia="en-GB"/>
              </w:rPr>
              <w:t xml:space="preserve">microîntreprinderilor, </w:t>
            </w:r>
            <w:r w:rsidRPr="00C459CC">
              <w:rPr>
                <w:lang w:eastAsia="en-GB"/>
              </w:rPr>
              <w:t>IMM-urilor</w:t>
            </w:r>
            <w:r w:rsidR="00615991" w:rsidRPr="00C459CC">
              <w:rPr>
                <w:lang w:eastAsia="en-GB"/>
              </w:rPr>
              <w:t xml:space="preserve"> și Întreprinderilor mari din domeniul construcțiilor</w:t>
            </w:r>
            <w:r w:rsidRPr="00C459CC">
              <w:rPr>
                <w:lang w:eastAsia="en-GB"/>
              </w:rPr>
              <w:t xml:space="preserve">, implicit a locurilor de muncă furnizate de acestea pe perioada în care se resimt acut în economie efectele pandemiei </w:t>
            </w:r>
            <w:r w:rsidR="00F5090C" w:rsidRPr="00C459CC">
              <w:rPr>
                <w:lang w:eastAsia="en-GB"/>
              </w:rPr>
              <w:t>SARS-COV-2</w:t>
            </w:r>
            <w:r w:rsidRPr="00C459CC">
              <w:rPr>
                <w:lang w:eastAsia="en-GB"/>
              </w:rPr>
              <w:t>.</w:t>
            </w:r>
          </w:p>
          <w:p w14:paraId="6EA346C7" w14:textId="1AC79132" w:rsidR="00916FBD" w:rsidRPr="00C459CC" w:rsidRDefault="00916FBD" w:rsidP="003645BA">
            <w:pPr>
              <w:autoSpaceDE w:val="0"/>
              <w:autoSpaceDN w:val="0"/>
              <w:adjustRightInd w:val="0"/>
              <w:ind w:firstLine="318"/>
              <w:jc w:val="both"/>
              <w:rPr>
                <w:lang w:eastAsia="en-GB"/>
              </w:rPr>
            </w:pPr>
            <w:r w:rsidRPr="00C459CC">
              <w:rPr>
                <w:lang w:eastAsia="en-GB"/>
              </w:rPr>
              <w:t>Măsurile de sprijin acordate prin Ordonanței de urgență a Guvernului nr. 82/2022 privind unele măsuri pentru acordarea de granturi din fonduri externe nerambursabile pentru investiții destinate capacităților de prestare de servicii și retehnologizării, în vederea refacerii capacității de reziliență, influențează direct funcționarea și menținerea activității IMM-urilor, iar neadoptarea acestor măsuri de sprijin va avea ca efect grave dificultăți în desfășurarea activităților directe, precum și sincope ale fluxurilor de producție, cu impact direct asupra veniturilor la bugetului de stat, dar și asupra ratei șomajului la nivel național.</w:t>
            </w:r>
          </w:p>
          <w:p w14:paraId="7519FC15" w14:textId="287F720F" w:rsidR="004369E0" w:rsidRPr="00C459CC" w:rsidRDefault="004369E0" w:rsidP="004369E0">
            <w:pPr>
              <w:autoSpaceDE w:val="0"/>
              <w:autoSpaceDN w:val="0"/>
              <w:adjustRightInd w:val="0"/>
              <w:jc w:val="both"/>
              <w:rPr>
                <w:b/>
                <w:bCs/>
                <w:lang w:eastAsia="en-GB"/>
              </w:rPr>
            </w:pPr>
            <w:r w:rsidRPr="00C459CC">
              <w:rPr>
                <w:b/>
                <w:bCs/>
                <w:lang w:eastAsia="en-GB"/>
              </w:rPr>
              <w:lastRenderedPageBreak/>
              <w:t>3.4.1 Impactul asupra economiei și asupra principalilor indicatori macroeconomici</w:t>
            </w:r>
          </w:p>
          <w:p w14:paraId="3C476F6F" w14:textId="50A1F8A1" w:rsidR="004369E0" w:rsidRPr="00C459CC" w:rsidRDefault="00034C5B" w:rsidP="00B926A1">
            <w:pPr>
              <w:autoSpaceDE w:val="0"/>
              <w:autoSpaceDN w:val="0"/>
              <w:adjustRightInd w:val="0"/>
              <w:jc w:val="both"/>
              <w:rPr>
                <w:lang w:eastAsia="en-GB"/>
              </w:rPr>
            </w:pPr>
            <w:r w:rsidRPr="00C459CC">
              <w:rPr>
                <w:lang w:eastAsia="en-GB"/>
              </w:rPr>
              <w:t>Prezentul act normativ nu se referă la acest subiect.</w:t>
            </w:r>
          </w:p>
          <w:p w14:paraId="43175C10" w14:textId="77777777" w:rsidR="00736249" w:rsidRPr="00C459CC" w:rsidRDefault="00736249" w:rsidP="00B66071">
            <w:pPr>
              <w:jc w:val="both"/>
              <w:rPr>
                <w:b/>
              </w:rPr>
            </w:pPr>
            <w:r w:rsidRPr="00C459CC">
              <w:rPr>
                <w:b/>
              </w:rPr>
              <w:t>3.4.2 Impactul asupra mediului concurențial si domeniului ajutoarelor de stat</w:t>
            </w:r>
          </w:p>
          <w:p w14:paraId="672B88CF" w14:textId="6C14FEED" w:rsidR="00736249" w:rsidRPr="00C459CC" w:rsidRDefault="00736249" w:rsidP="00B66071">
            <w:pPr>
              <w:jc w:val="both"/>
            </w:pPr>
            <w:r w:rsidRPr="00C459CC">
              <w:t xml:space="preserve">    Prin corelarea măsurilor adoptate cu cele prevăzute în Comunicarea Comisiei privind Cadrul temporar în materie de ajutor de stat în contextul pandemiei </w:t>
            </w:r>
            <w:r w:rsidR="00F5090C" w:rsidRPr="00C459CC">
              <w:rPr>
                <w:lang w:eastAsia="en-GB"/>
              </w:rPr>
              <w:t xml:space="preserve">SARS-COV-2 </w:t>
            </w:r>
            <w:r w:rsidRPr="00C459CC">
              <w:t xml:space="preserve">se asigură compatibilitatea măsurilor de ajutor de stat avute în vedere cu legislația europeană în domeniu. </w:t>
            </w:r>
          </w:p>
          <w:p w14:paraId="5D645A5F" w14:textId="3FAD3193" w:rsidR="00F72189" w:rsidRPr="00C459CC" w:rsidRDefault="00F72189" w:rsidP="00B66071">
            <w:pPr>
              <w:jc w:val="both"/>
              <w:rPr>
                <w:b/>
              </w:rPr>
            </w:pPr>
            <w:r w:rsidRPr="00C459CC">
              <w:rPr>
                <w:b/>
              </w:rPr>
              <w:t>3.</w:t>
            </w:r>
            <w:r w:rsidR="00FD3526" w:rsidRPr="00C459CC">
              <w:rPr>
                <w:b/>
              </w:rPr>
              <w:t>5</w:t>
            </w:r>
            <w:r w:rsidRPr="00C459CC">
              <w:rPr>
                <w:b/>
              </w:rPr>
              <w:t>. Impactul asupra mediului de afaceri</w:t>
            </w:r>
          </w:p>
          <w:p w14:paraId="28E3410E" w14:textId="515A4992" w:rsidR="00615991" w:rsidRPr="00C459CC" w:rsidRDefault="00615991" w:rsidP="00B66071">
            <w:pPr>
              <w:jc w:val="both"/>
              <w:rPr>
                <w:noProof/>
              </w:rPr>
            </w:pPr>
            <w:r w:rsidRPr="00C459CC">
              <w:rPr>
                <w:noProof/>
              </w:rPr>
              <w:t xml:space="preserve">Impactul financiar va fi pozitiv prin menținerea în funcțiune a microîntreprinderilor, IMM-urilor și Întreprinderilor mari din domeniul construcțiilor și de producție existente având în vedere deblocarea șantierelor și asigurarea implementării proiectelor în condițiile actuale ale pieței. </w:t>
            </w:r>
          </w:p>
          <w:p w14:paraId="598E6C57" w14:textId="36BFFB87" w:rsidR="00916FBD" w:rsidRPr="00C459CC" w:rsidRDefault="00916FBD" w:rsidP="00B66071">
            <w:pPr>
              <w:jc w:val="both"/>
              <w:rPr>
                <w:noProof/>
              </w:rPr>
            </w:pPr>
            <w:r w:rsidRPr="00C459CC">
              <w:rPr>
                <w:noProof/>
              </w:rPr>
              <w:t>Impactul financiar va fi pozitiv prin menținerea în funcțiune a IMM-urilor în domeniile eligibile prevăzute de Ordonanța de urgență a Guvernului nr. 82/2022 privind unele măsuri pentru acordarea de granturi din fonduri externe nerambursabile pentru investiții destinate capacităților de prestare de servicii și retehnologizării, în vederea refacerii capacității de reziliență, precum și implicit a numărului de angajați, situația actuală ducând spre o închidere masivă a întreprinderilor fără intervenția statului printr-un ajutor consistent.</w:t>
            </w:r>
          </w:p>
          <w:p w14:paraId="0371A2A3" w14:textId="078232CB" w:rsidR="00DD5E00" w:rsidRPr="00C459CC" w:rsidRDefault="00FD3526" w:rsidP="00B66071">
            <w:pPr>
              <w:jc w:val="both"/>
              <w:rPr>
                <w:b/>
              </w:rPr>
            </w:pPr>
            <w:r w:rsidRPr="00C459CC">
              <w:rPr>
                <w:b/>
              </w:rPr>
              <w:t>3.6 Impactul asupra mediului înconjurător</w:t>
            </w:r>
          </w:p>
          <w:p w14:paraId="41ACF09B" w14:textId="74A3E00B" w:rsidR="00031D8D" w:rsidRPr="00C459CC" w:rsidRDefault="00CD242A" w:rsidP="00B66071">
            <w:pPr>
              <w:jc w:val="both"/>
              <w:rPr>
                <w:b/>
                <w:bCs/>
              </w:rPr>
            </w:pPr>
            <w:r w:rsidRPr="00C459CC">
              <w:t xml:space="preserve">Prezentul </w:t>
            </w:r>
            <w:r w:rsidR="00DD5E00" w:rsidRPr="00C459CC">
              <w:t>act normativ nu se referă la acest subiect.</w:t>
            </w:r>
          </w:p>
          <w:p w14:paraId="55CFDA7E" w14:textId="3945FB0B" w:rsidR="00FD3526" w:rsidRPr="00C459CC" w:rsidRDefault="00FD3526" w:rsidP="00B66071">
            <w:pPr>
              <w:jc w:val="both"/>
              <w:rPr>
                <w:b/>
              </w:rPr>
            </w:pPr>
            <w:r w:rsidRPr="00C459CC">
              <w:rPr>
                <w:b/>
              </w:rPr>
              <w:t>3.7. Evaluarea costurilor și beneficiilor din perspectiva inovării și digitalizării</w:t>
            </w:r>
            <w:r w:rsidR="00A902E1" w:rsidRPr="00C459CC">
              <w:rPr>
                <w:b/>
              </w:rPr>
              <w:t>-</w:t>
            </w:r>
          </w:p>
          <w:p w14:paraId="4590BA78" w14:textId="1D54D4D8" w:rsidR="00031D8D" w:rsidRPr="00C459CC" w:rsidRDefault="00CD242A" w:rsidP="00B66071">
            <w:pPr>
              <w:jc w:val="both"/>
              <w:rPr>
                <w:b/>
                <w:bCs/>
              </w:rPr>
            </w:pPr>
            <w:r w:rsidRPr="00C459CC">
              <w:t xml:space="preserve">Prezentul </w:t>
            </w:r>
            <w:r w:rsidR="00DD5E00" w:rsidRPr="00C459CC">
              <w:t>act normativ nu se referă la acest subiect.</w:t>
            </w:r>
            <w:r w:rsidR="00031D8D" w:rsidRPr="00C459CC">
              <w:rPr>
                <w:b/>
              </w:rPr>
              <w:t xml:space="preserve"> </w:t>
            </w:r>
          </w:p>
          <w:p w14:paraId="3CFEFC6B" w14:textId="6B7012DE" w:rsidR="00FD3526" w:rsidRPr="00C459CC" w:rsidRDefault="00FD3526" w:rsidP="00B66071">
            <w:pPr>
              <w:jc w:val="both"/>
              <w:rPr>
                <w:b/>
              </w:rPr>
            </w:pPr>
            <w:r w:rsidRPr="00C459CC">
              <w:rPr>
                <w:b/>
              </w:rPr>
              <w:t>3.8 Evaluarea costurilor și beneficiilor din perspectiva dezvoltării durabile</w:t>
            </w:r>
          </w:p>
          <w:p w14:paraId="6D361443" w14:textId="44EE80D8" w:rsidR="00DD5E00" w:rsidRPr="00C459CC" w:rsidRDefault="00CD242A" w:rsidP="00B66071">
            <w:pPr>
              <w:jc w:val="both"/>
              <w:rPr>
                <w:b/>
                <w:bCs/>
              </w:rPr>
            </w:pPr>
            <w:r w:rsidRPr="00C459CC">
              <w:t xml:space="preserve">Prezentul </w:t>
            </w:r>
            <w:r w:rsidR="00DD5E00" w:rsidRPr="00C459CC">
              <w:t>act normativ nu se referă la acest subiect.</w:t>
            </w:r>
          </w:p>
          <w:p w14:paraId="1A104825" w14:textId="5A762B13" w:rsidR="00FD3526" w:rsidRPr="00C459CC" w:rsidRDefault="00FD3526" w:rsidP="00B66071">
            <w:pPr>
              <w:jc w:val="both"/>
              <w:rPr>
                <w:b/>
              </w:rPr>
            </w:pPr>
            <w:r w:rsidRPr="00C459CC">
              <w:rPr>
                <w:b/>
              </w:rPr>
              <w:t>3.9. Alte informații</w:t>
            </w:r>
          </w:p>
          <w:p w14:paraId="26CDF13C" w14:textId="77777777" w:rsidR="00A902E1" w:rsidRPr="00C459CC" w:rsidRDefault="00B73EBD" w:rsidP="00B66071">
            <w:pPr>
              <w:tabs>
                <w:tab w:val="left" w:pos="741"/>
              </w:tabs>
              <w:jc w:val="both"/>
            </w:pPr>
            <w:r w:rsidRPr="00C459CC">
              <w:t>Nu au fost identificate</w:t>
            </w:r>
          </w:p>
          <w:p w14:paraId="45AC3FB3" w14:textId="77777777" w:rsidR="00DE6B95" w:rsidRPr="00C459CC" w:rsidRDefault="00DE6B95" w:rsidP="00B66071">
            <w:pPr>
              <w:tabs>
                <w:tab w:val="left" w:pos="741"/>
              </w:tabs>
              <w:jc w:val="both"/>
            </w:pPr>
          </w:p>
          <w:p w14:paraId="0FCF4647" w14:textId="77777777" w:rsidR="00DE6B95" w:rsidRPr="00C459CC" w:rsidRDefault="00DE6B95" w:rsidP="00B66071">
            <w:pPr>
              <w:tabs>
                <w:tab w:val="left" w:pos="741"/>
              </w:tabs>
              <w:jc w:val="both"/>
            </w:pPr>
          </w:p>
          <w:p w14:paraId="041FB550" w14:textId="00642A71" w:rsidR="00DE6B95" w:rsidRPr="00C459CC" w:rsidRDefault="00DE6B95" w:rsidP="00B66071">
            <w:pPr>
              <w:tabs>
                <w:tab w:val="left" w:pos="741"/>
              </w:tabs>
              <w:jc w:val="both"/>
              <w:rPr>
                <w:b/>
              </w:rPr>
            </w:pPr>
          </w:p>
        </w:tc>
      </w:tr>
      <w:tr w:rsidR="00B66071" w:rsidRPr="00C459CC" w14:paraId="2BE6AFE3" w14:textId="77777777" w:rsidTr="006C32FE">
        <w:trPr>
          <w:gridAfter w:val="1"/>
          <w:wAfter w:w="20" w:type="dxa"/>
        </w:trPr>
        <w:tc>
          <w:tcPr>
            <w:tcW w:w="9923" w:type="dxa"/>
            <w:gridSpan w:val="7"/>
            <w:tcBorders>
              <w:top w:val="single" w:sz="4" w:space="0" w:color="auto"/>
              <w:left w:val="single" w:sz="4" w:space="0" w:color="auto"/>
              <w:bottom w:val="single" w:sz="4" w:space="0" w:color="auto"/>
              <w:right w:val="single" w:sz="4" w:space="0" w:color="auto"/>
            </w:tcBorders>
          </w:tcPr>
          <w:p w14:paraId="21B53A4C" w14:textId="77777777" w:rsidR="003948CA" w:rsidRPr="00C459CC" w:rsidRDefault="003948CA" w:rsidP="00B66071">
            <w:pPr>
              <w:jc w:val="center"/>
              <w:rPr>
                <w:b/>
                <w:i/>
              </w:rPr>
            </w:pPr>
          </w:p>
          <w:p w14:paraId="112E6D75" w14:textId="77777777" w:rsidR="003948CA" w:rsidRPr="00C459CC" w:rsidRDefault="003948CA" w:rsidP="00B66071">
            <w:pPr>
              <w:jc w:val="center"/>
              <w:rPr>
                <w:b/>
                <w:i/>
              </w:rPr>
            </w:pPr>
          </w:p>
          <w:p w14:paraId="21C15B26" w14:textId="44915B1C" w:rsidR="00B66071" w:rsidRPr="00C459CC" w:rsidRDefault="00B66071" w:rsidP="00B66071">
            <w:pPr>
              <w:jc w:val="center"/>
              <w:rPr>
                <w:b/>
                <w:i/>
              </w:rPr>
            </w:pPr>
            <w:r w:rsidRPr="00C459CC">
              <w:rPr>
                <w:b/>
                <w:i/>
              </w:rPr>
              <w:t>Secțiunea a 4-a</w:t>
            </w:r>
          </w:p>
          <w:p w14:paraId="408A3560" w14:textId="77777777" w:rsidR="00B66071" w:rsidRPr="00C459CC" w:rsidRDefault="00B66071" w:rsidP="006C32FE">
            <w:pPr>
              <w:jc w:val="center"/>
              <w:rPr>
                <w:b/>
                <w:i/>
              </w:rPr>
            </w:pPr>
            <w:r w:rsidRPr="00C459CC">
              <w:rPr>
                <w:b/>
                <w:i/>
              </w:rPr>
              <w:t>Impactul financiar asupra bugetului general consolidat atât pe termen scurt, pentru anul curent, cât şi pe termen lung (pe 5 ani), inclusiv informații cu privire la cheltuieli și venituri</w:t>
            </w:r>
          </w:p>
          <w:p w14:paraId="54CBDCE9" w14:textId="6D88B0ED" w:rsidR="003948CA" w:rsidRPr="00C459CC" w:rsidRDefault="003948CA" w:rsidP="006C32FE">
            <w:pPr>
              <w:jc w:val="center"/>
              <w:rPr>
                <w:b/>
              </w:rPr>
            </w:pPr>
          </w:p>
        </w:tc>
      </w:tr>
      <w:tr w:rsidR="009A76F9" w:rsidRPr="00C459CC" w14:paraId="0C843357" w14:textId="77777777" w:rsidTr="006C32FE">
        <w:trPr>
          <w:gridAfter w:val="1"/>
          <w:wAfter w:w="20" w:type="dxa"/>
        </w:trPr>
        <w:tc>
          <w:tcPr>
            <w:tcW w:w="9923" w:type="dxa"/>
            <w:gridSpan w:val="7"/>
          </w:tcPr>
          <w:p w14:paraId="33061C9B" w14:textId="7824EB12" w:rsidR="009A76F9" w:rsidRPr="00C459CC" w:rsidRDefault="009A76F9" w:rsidP="00B66071">
            <w:pPr>
              <w:pStyle w:val="ListParagraph"/>
              <w:numPr>
                <w:ilvl w:val="0"/>
                <w:numId w:val="13"/>
              </w:numPr>
              <w:ind w:left="0"/>
              <w:jc w:val="right"/>
              <w:rPr>
                <w:rFonts w:ascii="Times New Roman" w:hAnsi="Times New Roman" w:cs="Times New Roman"/>
              </w:rPr>
            </w:pPr>
            <w:r w:rsidRPr="00C459CC">
              <w:rPr>
                <w:rFonts w:ascii="Times New Roman" w:hAnsi="Times New Roman" w:cs="Times New Roman"/>
              </w:rPr>
              <w:t>În mii lei (RON)</w:t>
            </w:r>
          </w:p>
        </w:tc>
      </w:tr>
      <w:tr w:rsidR="00520BE3" w:rsidRPr="00C459CC" w14:paraId="57D824B3" w14:textId="77777777" w:rsidTr="006C32FE">
        <w:trPr>
          <w:gridAfter w:val="1"/>
          <w:wAfter w:w="20" w:type="dxa"/>
        </w:trPr>
        <w:tc>
          <w:tcPr>
            <w:tcW w:w="2583" w:type="dxa"/>
          </w:tcPr>
          <w:p w14:paraId="318BEE35" w14:textId="77777777" w:rsidR="00670C79" w:rsidRPr="00C459CC" w:rsidRDefault="00670C79" w:rsidP="00B66071">
            <w:pPr>
              <w:pStyle w:val="Heading2"/>
              <w:rPr>
                <w:sz w:val="24"/>
              </w:rPr>
            </w:pPr>
            <w:r w:rsidRPr="00C459CC">
              <w:rPr>
                <w:sz w:val="24"/>
              </w:rPr>
              <w:t>Indicatori</w:t>
            </w:r>
          </w:p>
        </w:tc>
        <w:tc>
          <w:tcPr>
            <w:tcW w:w="1033" w:type="dxa"/>
          </w:tcPr>
          <w:p w14:paraId="603E3C85" w14:textId="129C77CD" w:rsidR="00670C79" w:rsidRPr="00C459CC" w:rsidRDefault="00670C79" w:rsidP="00B66071">
            <w:pPr>
              <w:jc w:val="center"/>
            </w:pPr>
            <w:r w:rsidRPr="00C459CC">
              <w:t>An</w:t>
            </w:r>
            <w:r w:rsidR="009A76F9" w:rsidRPr="00C459CC">
              <w:t>ul</w:t>
            </w:r>
            <w:r w:rsidRPr="00C459CC">
              <w:t xml:space="preserve"> curent</w:t>
            </w:r>
          </w:p>
        </w:tc>
        <w:tc>
          <w:tcPr>
            <w:tcW w:w="4659" w:type="dxa"/>
            <w:gridSpan w:val="4"/>
          </w:tcPr>
          <w:p w14:paraId="4EA4AF47" w14:textId="77777777" w:rsidR="00670C79" w:rsidRPr="00C459CC" w:rsidRDefault="00670C79" w:rsidP="00B66071">
            <w:pPr>
              <w:jc w:val="center"/>
            </w:pPr>
            <w:r w:rsidRPr="00C459CC">
              <w:t>Următorii 4 ani</w:t>
            </w:r>
          </w:p>
        </w:tc>
        <w:tc>
          <w:tcPr>
            <w:tcW w:w="1648" w:type="dxa"/>
          </w:tcPr>
          <w:p w14:paraId="1EE52564" w14:textId="74A4CFA0" w:rsidR="00670C79" w:rsidRPr="00C459CC" w:rsidRDefault="00670C79" w:rsidP="00B66071">
            <w:pPr>
              <w:jc w:val="center"/>
            </w:pPr>
            <w:r w:rsidRPr="00C459CC">
              <w:t xml:space="preserve">Media </w:t>
            </w:r>
            <w:r w:rsidR="009A76F9" w:rsidRPr="00C459CC">
              <w:t>pe</w:t>
            </w:r>
            <w:r w:rsidRPr="00C459CC">
              <w:t xml:space="preserve"> 5 ani</w:t>
            </w:r>
          </w:p>
        </w:tc>
      </w:tr>
      <w:tr w:rsidR="00520BE3" w:rsidRPr="00C459CC" w14:paraId="31AEB740" w14:textId="77777777" w:rsidTr="006C32FE">
        <w:trPr>
          <w:gridAfter w:val="1"/>
          <w:wAfter w:w="20" w:type="dxa"/>
        </w:trPr>
        <w:tc>
          <w:tcPr>
            <w:tcW w:w="2583" w:type="dxa"/>
          </w:tcPr>
          <w:p w14:paraId="1A04C9C9" w14:textId="77777777" w:rsidR="00670C79" w:rsidRPr="00C459CC" w:rsidRDefault="00670C79" w:rsidP="00B66071">
            <w:pPr>
              <w:jc w:val="center"/>
            </w:pPr>
            <w:r w:rsidRPr="00C459CC">
              <w:t>1</w:t>
            </w:r>
          </w:p>
        </w:tc>
        <w:tc>
          <w:tcPr>
            <w:tcW w:w="1033" w:type="dxa"/>
            <w:vAlign w:val="center"/>
          </w:tcPr>
          <w:p w14:paraId="44BDE6EE" w14:textId="77777777" w:rsidR="00670C79" w:rsidRPr="00C459CC" w:rsidRDefault="00670C79" w:rsidP="00B66071">
            <w:pPr>
              <w:jc w:val="center"/>
            </w:pPr>
            <w:r w:rsidRPr="00C459CC">
              <w:t>2</w:t>
            </w:r>
          </w:p>
        </w:tc>
        <w:tc>
          <w:tcPr>
            <w:tcW w:w="1192" w:type="dxa"/>
            <w:vAlign w:val="center"/>
          </w:tcPr>
          <w:p w14:paraId="44511A2B" w14:textId="77777777" w:rsidR="00670C79" w:rsidRPr="00C459CC" w:rsidRDefault="00670C79" w:rsidP="00B66071">
            <w:pPr>
              <w:jc w:val="center"/>
            </w:pPr>
            <w:r w:rsidRPr="00C459CC">
              <w:t>3</w:t>
            </w:r>
          </w:p>
        </w:tc>
        <w:tc>
          <w:tcPr>
            <w:tcW w:w="1274" w:type="dxa"/>
            <w:vAlign w:val="center"/>
          </w:tcPr>
          <w:p w14:paraId="7665B810" w14:textId="77777777" w:rsidR="00670C79" w:rsidRPr="00C459CC" w:rsidRDefault="00670C79" w:rsidP="00B66071">
            <w:pPr>
              <w:jc w:val="center"/>
            </w:pPr>
            <w:r w:rsidRPr="00C459CC">
              <w:t>4</w:t>
            </w:r>
          </w:p>
        </w:tc>
        <w:tc>
          <w:tcPr>
            <w:tcW w:w="1192" w:type="dxa"/>
            <w:vAlign w:val="center"/>
          </w:tcPr>
          <w:p w14:paraId="375332DA" w14:textId="77777777" w:rsidR="00670C79" w:rsidRPr="00C459CC" w:rsidRDefault="00670C79" w:rsidP="00B66071">
            <w:pPr>
              <w:jc w:val="center"/>
            </w:pPr>
            <w:r w:rsidRPr="00C459CC">
              <w:t>5</w:t>
            </w:r>
          </w:p>
        </w:tc>
        <w:tc>
          <w:tcPr>
            <w:tcW w:w="1001" w:type="dxa"/>
            <w:vAlign w:val="center"/>
          </w:tcPr>
          <w:p w14:paraId="0DD2A48C" w14:textId="77777777" w:rsidR="00670C79" w:rsidRPr="00C459CC" w:rsidRDefault="00670C79" w:rsidP="00B66071">
            <w:pPr>
              <w:jc w:val="center"/>
            </w:pPr>
            <w:r w:rsidRPr="00C459CC">
              <w:t>6</w:t>
            </w:r>
          </w:p>
        </w:tc>
        <w:tc>
          <w:tcPr>
            <w:tcW w:w="1648" w:type="dxa"/>
            <w:vAlign w:val="center"/>
          </w:tcPr>
          <w:p w14:paraId="64FF500C" w14:textId="77777777" w:rsidR="00670C79" w:rsidRPr="00C459CC" w:rsidRDefault="00670C79" w:rsidP="00B66071">
            <w:pPr>
              <w:jc w:val="center"/>
            </w:pPr>
            <w:r w:rsidRPr="00C459CC">
              <w:t>7</w:t>
            </w:r>
          </w:p>
        </w:tc>
      </w:tr>
      <w:tr w:rsidR="00520BE3" w:rsidRPr="00C459CC" w14:paraId="24F374CE" w14:textId="77777777" w:rsidTr="006C32FE">
        <w:trPr>
          <w:gridAfter w:val="1"/>
          <w:wAfter w:w="20" w:type="dxa"/>
        </w:trPr>
        <w:tc>
          <w:tcPr>
            <w:tcW w:w="2583" w:type="dxa"/>
          </w:tcPr>
          <w:p w14:paraId="7075F3AB" w14:textId="3D2A3576" w:rsidR="0025682E" w:rsidRPr="00C459CC" w:rsidRDefault="00CD28D5" w:rsidP="00B66071">
            <w:pPr>
              <w:jc w:val="both"/>
              <w:rPr>
                <w:b/>
                <w:bCs/>
              </w:rPr>
            </w:pPr>
            <w:r w:rsidRPr="00C459CC">
              <w:rPr>
                <w:b/>
                <w:bCs/>
              </w:rPr>
              <w:t>4.</w:t>
            </w:r>
            <w:r w:rsidR="00670C79" w:rsidRPr="00C459CC">
              <w:rPr>
                <w:b/>
                <w:bCs/>
              </w:rPr>
              <w:t>1.</w:t>
            </w:r>
            <w:r w:rsidRPr="00C459CC">
              <w:rPr>
                <w:b/>
                <w:bCs/>
              </w:rPr>
              <w:t xml:space="preserve"> </w:t>
            </w:r>
            <w:r w:rsidR="00670C79" w:rsidRPr="00C459CC">
              <w:rPr>
                <w:b/>
                <w:bCs/>
              </w:rPr>
              <w:t>Modificări ale veniturilor bugetare, plus/minus, din care:</w:t>
            </w:r>
          </w:p>
        </w:tc>
        <w:tc>
          <w:tcPr>
            <w:tcW w:w="1033" w:type="dxa"/>
          </w:tcPr>
          <w:p w14:paraId="7811CDB2" w14:textId="77777777" w:rsidR="00670C79" w:rsidRPr="00C459CC" w:rsidRDefault="00670C79" w:rsidP="00B66071">
            <w:pPr>
              <w:pStyle w:val="BodyText2"/>
              <w:rPr>
                <w:sz w:val="24"/>
              </w:rPr>
            </w:pPr>
          </w:p>
        </w:tc>
        <w:tc>
          <w:tcPr>
            <w:tcW w:w="1192" w:type="dxa"/>
          </w:tcPr>
          <w:p w14:paraId="5E0D1921" w14:textId="77777777" w:rsidR="00670C79" w:rsidRPr="00C459CC" w:rsidRDefault="00670C79" w:rsidP="00B66071">
            <w:pPr>
              <w:pStyle w:val="BodyText2"/>
              <w:rPr>
                <w:sz w:val="24"/>
              </w:rPr>
            </w:pPr>
          </w:p>
        </w:tc>
        <w:tc>
          <w:tcPr>
            <w:tcW w:w="1274" w:type="dxa"/>
          </w:tcPr>
          <w:p w14:paraId="3789DD62" w14:textId="77777777" w:rsidR="00670C79" w:rsidRPr="00C459CC" w:rsidRDefault="00670C79" w:rsidP="00B66071">
            <w:pPr>
              <w:pStyle w:val="BodyText2"/>
              <w:rPr>
                <w:sz w:val="24"/>
              </w:rPr>
            </w:pPr>
          </w:p>
        </w:tc>
        <w:tc>
          <w:tcPr>
            <w:tcW w:w="1192" w:type="dxa"/>
          </w:tcPr>
          <w:p w14:paraId="3EFEBCA3" w14:textId="77777777" w:rsidR="00670C79" w:rsidRPr="00C459CC" w:rsidRDefault="00670C79" w:rsidP="00B66071">
            <w:pPr>
              <w:pStyle w:val="BodyText2"/>
              <w:rPr>
                <w:sz w:val="24"/>
              </w:rPr>
            </w:pPr>
          </w:p>
        </w:tc>
        <w:tc>
          <w:tcPr>
            <w:tcW w:w="1001" w:type="dxa"/>
          </w:tcPr>
          <w:p w14:paraId="4D97905B" w14:textId="77777777" w:rsidR="00670C79" w:rsidRPr="00C459CC" w:rsidRDefault="00670C79" w:rsidP="00B66071">
            <w:pPr>
              <w:pStyle w:val="BodyText2"/>
              <w:rPr>
                <w:sz w:val="24"/>
              </w:rPr>
            </w:pPr>
          </w:p>
        </w:tc>
        <w:tc>
          <w:tcPr>
            <w:tcW w:w="1648" w:type="dxa"/>
          </w:tcPr>
          <w:p w14:paraId="4A89D66A" w14:textId="77777777" w:rsidR="00670C79" w:rsidRPr="00C459CC" w:rsidRDefault="00670C79" w:rsidP="00B66071">
            <w:pPr>
              <w:pStyle w:val="BodyText2"/>
              <w:rPr>
                <w:sz w:val="24"/>
              </w:rPr>
            </w:pPr>
          </w:p>
        </w:tc>
      </w:tr>
      <w:tr w:rsidR="003A367D" w:rsidRPr="00C459CC" w14:paraId="7E845381" w14:textId="77777777" w:rsidTr="006C32FE">
        <w:trPr>
          <w:gridAfter w:val="1"/>
          <w:wAfter w:w="20" w:type="dxa"/>
        </w:trPr>
        <w:tc>
          <w:tcPr>
            <w:tcW w:w="2583" w:type="dxa"/>
          </w:tcPr>
          <w:p w14:paraId="25792053" w14:textId="77777777" w:rsidR="003A367D" w:rsidRPr="00C459CC" w:rsidRDefault="003A367D" w:rsidP="00B66071">
            <w:pPr>
              <w:jc w:val="both"/>
            </w:pPr>
            <w:r w:rsidRPr="00C459CC">
              <w:t>a) bugetul de stat, din acesta:</w:t>
            </w:r>
          </w:p>
          <w:p w14:paraId="32D9DBFB" w14:textId="15A036BA" w:rsidR="003A367D" w:rsidRPr="00C459CC" w:rsidRDefault="00CD28D5" w:rsidP="00B66071">
            <w:pPr>
              <w:jc w:val="both"/>
            </w:pPr>
            <w:r w:rsidRPr="00C459CC">
              <w:t xml:space="preserve">(i) </w:t>
            </w:r>
            <w:r w:rsidR="003A367D" w:rsidRPr="00C459CC">
              <w:t>impozit pe profit</w:t>
            </w:r>
          </w:p>
          <w:p w14:paraId="67C4E169" w14:textId="0BD99910" w:rsidR="003A367D" w:rsidRPr="00C459CC" w:rsidRDefault="00CD28D5" w:rsidP="00B66071">
            <w:pPr>
              <w:jc w:val="both"/>
            </w:pPr>
            <w:r w:rsidRPr="00C459CC">
              <w:t xml:space="preserve">(ii) </w:t>
            </w:r>
            <w:r w:rsidR="003A367D" w:rsidRPr="00C459CC">
              <w:t>impozit pe venit</w:t>
            </w:r>
          </w:p>
        </w:tc>
        <w:tc>
          <w:tcPr>
            <w:tcW w:w="1033" w:type="dxa"/>
          </w:tcPr>
          <w:p w14:paraId="07086A97" w14:textId="0FC553D0" w:rsidR="003A367D" w:rsidRPr="00C459CC" w:rsidRDefault="00615991" w:rsidP="00B66071">
            <w:pPr>
              <w:pStyle w:val="BodyText2"/>
              <w:rPr>
                <w:sz w:val="24"/>
              </w:rPr>
            </w:pPr>
            <w:r w:rsidRPr="00C459CC">
              <w:rPr>
                <w:sz w:val="24"/>
              </w:rPr>
              <w:t>-</w:t>
            </w:r>
          </w:p>
        </w:tc>
        <w:tc>
          <w:tcPr>
            <w:tcW w:w="1192" w:type="dxa"/>
          </w:tcPr>
          <w:p w14:paraId="68EDD67B" w14:textId="202D0A03" w:rsidR="003A367D" w:rsidRPr="00C459CC" w:rsidRDefault="00615991" w:rsidP="00B66071">
            <w:pPr>
              <w:pStyle w:val="BodyText2"/>
              <w:rPr>
                <w:sz w:val="24"/>
              </w:rPr>
            </w:pPr>
            <w:r w:rsidRPr="00C459CC">
              <w:rPr>
                <w:sz w:val="24"/>
              </w:rPr>
              <w:t>-</w:t>
            </w:r>
          </w:p>
        </w:tc>
        <w:tc>
          <w:tcPr>
            <w:tcW w:w="1274" w:type="dxa"/>
          </w:tcPr>
          <w:p w14:paraId="074A0C4C" w14:textId="7AE5D872" w:rsidR="003A367D" w:rsidRPr="00C459CC" w:rsidRDefault="00615991" w:rsidP="00B66071">
            <w:pPr>
              <w:pStyle w:val="BodyText2"/>
              <w:rPr>
                <w:sz w:val="24"/>
              </w:rPr>
            </w:pPr>
            <w:r w:rsidRPr="00C459CC">
              <w:rPr>
                <w:sz w:val="24"/>
              </w:rPr>
              <w:t>-</w:t>
            </w:r>
          </w:p>
        </w:tc>
        <w:tc>
          <w:tcPr>
            <w:tcW w:w="1192" w:type="dxa"/>
          </w:tcPr>
          <w:p w14:paraId="3EC66A65" w14:textId="5EAD98EE" w:rsidR="003A367D" w:rsidRPr="00C459CC" w:rsidRDefault="00615991" w:rsidP="00B66071">
            <w:pPr>
              <w:pStyle w:val="BodyText2"/>
              <w:rPr>
                <w:sz w:val="24"/>
              </w:rPr>
            </w:pPr>
            <w:r w:rsidRPr="00C459CC">
              <w:rPr>
                <w:sz w:val="24"/>
              </w:rPr>
              <w:t>-</w:t>
            </w:r>
          </w:p>
        </w:tc>
        <w:tc>
          <w:tcPr>
            <w:tcW w:w="1001" w:type="dxa"/>
          </w:tcPr>
          <w:p w14:paraId="5CEC73AA" w14:textId="44D0C4B1" w:rsidR="003A367D" w:rsidRPr="00C459CC" w:rsidRDefault="00615991" w:rsidP="00B66071">
            <w:pPr>
              <w:pStyle w:val="BodyText2"/>
              <w:rPr>
                <w:sz w:val="24"/>
              </w:rPr>
            </w:pPr>
            <w:r w:rsidRPr="00C459CC">
              <w:rPr>
                <w:sz w:val="24"/>
              </w:rPr>
              <w:t>-</w:t>
            </w:r>
          </w:p>
        </w:tc>
        <w:tc>
          <w:tcPr>
            <w:tcW w:w="1648" w:type="dxa"/>
          </w:tcPr>
          <w:p w14:paraId="761E2BD4" w14:textId="1816992A" w:rsidR="003A367D" w:rsidRPr="00C459CC" w:rsidRDefault="00615991" w:rsidP="00B66071">
            <w:pPr>
              <w:pStyle w:val="BodyText2"/>
              <w:rPr>
                <w:sz w:val="24"/>
              </w:rPr>
            </w:pPr>
            <w:r w:rsidRPr="00C459CC">
              <w:rPr>
                <w:sz w:val="24"/>
              </w:rPr>
              <w:t>-</w:t>
            </w:r>
          </w:p>
        </w:tc>
      </w:tr>
      <w:tr w:rsidR="003A367D" w:rsidRPr="00C459CC" w14:paraId="6771B99C" w14:textId="77777777" w:rsidTr="006C32FE">
        <w:trPr>
          <w:gridAfter w:val="1"/>
          <w:wAfter w:w="20" w:type="dxa"/>
        </w:trPr>
        <w:tc>
          <w:tcPr>
            <w:tcW w:w="2583" w:type="dxa"/>
          </w:tcPr>
          <w:p w14:paraId="6A8A0E7F" w14:textId="577483D3" w:rsidR="003A367D" w:rsidRPr="00C459CC" w:rsidRDefault="003A367D" w:rsidP="00B66071">
            <w:pPr>
              <w:jc w:val="both"/>
            </w:pPr>
            <w:r w:rsidRPr="00C459CC">
              <w:t>b) bugete locale:</w:t>
            </w:r>
          </w:p>
          <w:p w14:paraId="3B0FCECB" w14:textId="7AB36B1B" w:rsidR="003A367D" w:rsidRPr="00C459CC" w:rsidRDefault="00CD28D5" w:rsidP="00B66071">
            <w:pPr>
              <w:jc w:val="both"/>
            </w:pPr>
            <w:r w:rsidRPr="00C459CC">
              <w:t xml:space="preserve">(i) </w:t>
            </w:r>
            <w:r w:rsidR="003A367D" w:rsidRPr="00C459CC">
              <w:t>impozit pe profit</w:t>
            </w:r>
          </w:p>
        </w:tc>
        <w:tc>
          <w:tcPr>
            <w:tcW w:w="1033" w:type="dxa"/>
          </w:tcPr>
          <w:p w14:paraId="687D0BEC" w14:textId="35FE9216" w:rsidR="003A367D" w:rsidRPr="00C459CC" w:rsidRDefault="00615991" w:rsidP="00B66071">
            <w:pPr>
              <w:pStyle w:val="BodyText2"/>
              <w:rPr>
                <w:sz w:val="24"/>
              </w:rPr>
            </w:pPr>
            <w:r w:rsidRPr="00C459CC">
              <w:rPr>
                <w:sz w:val="24"/>
              </w:rPr>
              <w:t>-</w:t>
            </w:r>
          </w:p>
        </w:tc>
        <w:tc>
          <w:tcPr>
            <w:tcW w:w="1192" w:type="dxa"/>
          </w:tcPr>
          <w:p w14:paraId="203F5632" w14:textId="023727D1" w:rsidR="003A367D" w:rsidRPr="00C459CC" w:rsidRDefault="00615991" w:rsidP="00B66071">
            <w:pPr>
              <w:pStyle w:val="BodyText2"/>
              <w:rPr>
                <w:sz w:val="24"/>
              </w:rPr>
            </w:pPr>
            <w:r w:rsidRPr="00C459CC">
              <w:rPr>
                <w:sz w:val="24"/>
              </w:rPr>
              <w:t>-</w:t>
            </w:r>
          </w:p>
        </w:tc>
        <w:tc>
          <w:tcPr>
            <w:tcW w:w="1274" w:type="dxa"/>
          </w:tcPr>
          <w:p w14:paraId="38DA8080" w14:textId="18FF3DE4" w:rsidR="003A367D" w:rsidRPr="00C459CC" w:rsidRDefault="00615991" w:rsidP="00B66071">
            <w:pPr>
              <w:pStyle w:val="BodyText2"/>
              <w:rPr>
                <w:sz w:val="24"/>
              </w:rPr>
            </w:pPr>
            <w:r w:rsidRPr="00C459CC">
              <w:rPr>
                <w:sz w:val="24"/>
              </w:rPr>
              <w:t>-</w:t>
            </w:r>
          </w:p>
        </w:tc>
        <w:tc>
          <w:tcPr>
            <w:tcW w:w="1192" w:type="dxa"/>
          </w:tcPr>
          <w:p w14:paraId="31807B27" w14:textId="12F619D1" w:rsidR="003A367D" w:rsidRPr="00C459CC" w:rsidRDefault="00615991" w:rsidP="00B66071">
            <w:pPr>
              <w:pStyle w:val="BodyText2"/>
              <w:rPr>
                <w:sz w:val="24"/>
              </w:rPr>
            </w:pPr>
            <w:r w:rsidRPr="00C459CC">
              <w:rPr>
                <w:sz w:val="24"/>
              </w:rPr>
              <w:t>-</w:t>
            </w:r>
          </w:p>
        </w:tc>
        <w:tc>
          <w:tcPr>
            <w:tcW w:w="1001" w:type="dxa"/>
          </w:tcPr>
          <w:p w14:paraId="29015A0A" w14:textId="06492412" w:rsidR="003A367D" w:rsidRPr="00C459CC" w:rsidRDefault="00615991" w:rsidP="00B66071">
            <w:pPr>
              <w:pStyle w:val="BodyText2"/>
              <w:rPr>
                <w:sz w:val="24"/>
              </w:rPr>
            </w:pPr>
            <w:r w:rsidRPr="00C459CC">
              <w:rPr>
                <w:sz w:val="24"/>
              </w:rPr>
              <w:t>-</w:t>
            </w:r>
          </w:p>
        </w:tc>
        <w:tc>
          <w:tcPr>
            <w:tcW w:w="1648" w:type="dxa"/>
          </w:tcPr>
          <w:p w14:paraId="33E8076D" w14:textId="3EF98268" w:rsidR="003A367D" w:rsidRPr="00C459CC" w:rsidRDefault="00615991" w:rsidP="00B66071">
            <w:pPr>
              <w:pStyle w:val="BodyText2"/>
              <w:rPr>
                <w:sz w:val="24"/>
              </w:rPr>
            </w:pPr>
            <w:r w:rsidRPr="00C459CC">
              <w:rPr>
                <w:sz w:val="24"/>
              </w:rPr>
              <w:t>-</w:t>
            </w:r>
          </w:p>
        </w:tc>
      </w:tr>
      <w:tr w:rsidR="003A367D" w:rsidRPr="00C459CC" w14:paraId="3ECF4DE7" w14:textId="77777777" w:rsidTr="006C32FE">
        <w:trPr>
          <w:gridAfter w:val="1"/>
          <w:wAfter w:w="20" w:type="dxa"/>
        </w:trPr>
        <w:tc>
          <w:tcPr>
            <w:tcW w:w="2583" w:type="dxa"/>
          </w:tcPr>
          <w:p w14:paraId="454D76E8" w14:textId="401F8F98" w:rsidR="003A367D" w:rsidRPr="00C459CC" w:rsidRDefault="003A367D" w:rsidP="00B66071">
            <w:pPr>
              <w:jc w:val="both"/>
            </w:pPr>
            <w:r w:rsidRPr="00C459CC">
              <w:t>c) bugetul asigurărilor sociale</w:t>
            </w:r>
            <w:r w:rsidR="00CD13F8" w:rsidRPr="00C459CC">
              <w:t xml:space="preserve"> de stat</w:t>
            </w:r>
          </w:p>
          <w:p w14:paraId="551EFD10" w14:textId="6A1DCE03" w:rsidR="003A367D" w:rsidRPr="00C459CC" w:rsidRDefault="00CD28D5" w:rsidP="00B66071">
            <w:pPr>
              <w:jc w:val="both"/>
            </w:pPr>
            <w:r w:rsidRPr="00C459CC">
              <w:t xml:space="preserve">(i) </w:t>
            </w:r>
            <w:r w:rsidR="003A367D" w:rsidRPr="00C459CC">
              <w:t>contribuţii de asigurări</w:t>
            </w:r>
          </w:p>
        </w:tc>
        <w:tc>
          <w:tcPr>
            <w:tcW w:w="1033" w:type="dxa"/>
          </w:tcPr>
          <w:p w14:paraId="20DF36E4" w14:textId="050CAEA5" w:rsidR="003A367D" w:rsidRPr="00C459CC" w:rsidRDefault="00615991" w:rsidP="00B66071">
            <w:pPr>
              <w:pStyle w:val="BodyText2"/>
              <w:rPr>
                <w:sz w:val="24"/>
              </w:rPr>
            </w:pPr>
            <w:r w:rsidRPr="00C459CC">
              <w:rPr>
                <w:sz w:val="24"/>
              </w:rPr>
              <w:t>-</w:t>
            </w:r>
          </w:p>
        </w:tc>
        <w:tc>
          <w:tcPr>
            <w:tcW w:w="1192" w:type="dxa"/>
          </w:tcPr>
          <w:p w14:paraId="2E4987C5" w14:textId="5294A1C5" w:rsidR="003A367D" w:rsidRPr="00C459CC" w:rsidRDefault="00615991" w:rsidP="00B66071">
            <w:pPr>
              <w:pStyle w:val="BodyText2"/>
              <w:rPr>
                <w:sz w:val="24"/>
              </w:rPr>
            </w:pPr>
            <w:r w:rsidRPr="00C459CC">
              <w:rPr>
                <w:sz w:val="24"/>
              </w:rPr>
              <w:t>-</w:t>
            </w:r>
          </w:p>
        </w:tc>
        <w:tc>
          <w:tcPr>
            <w:tcW w:w="1274" w:type="dxa"/>
          </w:tcPr>
          <w:p w14:paraId="55EA5A38" w14:textId="2B0ED464" w:rsidR="003A367D" w:rsidRPr="00C459CC" w:rsidRDefault="00615991" w:rsidP="00B66071">
            <w:pPr>
              <w:pStyle w:val="BodyText2"/>
              <w:rPr>
                <w:sz w:val="24"/>
              </w:rPr>
            </w:pPr>
            <w:r w:rsidRPr="00C459CC">
              <w:rPr>
                <w:sz w:val="24"/>
              </w:rPr>
              <w:t>-</w:t>
            </w:r>
          </w:p>
        </w:tc>
        <w:tc>
          <w:tcPr>
            <w:tcW w:w="1192" w:type="dxa"/>
          </w:tcPr>
          <w:p w14:paraId="1A940564" w14:textId="72F6C14A" w:rsidR="003A367D" w:rsidRPr="00C459CC" w:rsidRDefault="00615991" w:rsidP="00B66071">
            <w:pPr>
              <w:pStyle w:val="BodyText2"/>
              <w:rPr>
                <w:sz w:val="24"/>
              </w:rPr>
            </w:pPr>
            <w:r w:rsidRPr="00C459CC">
              <w:rPr>
                <w:sz w:val="24"/>
              </w:rPr>
              <w:t>-</w:t>
            </w:r>
          </w:p>
        </w:tc>
        <w:tc>
          <w:tcPr>
            <w:tcW w:w="1001" w:type="dxa"/>
          </w:tcPr>
          <w:p w14:paraId="3B9F8826" w14:textId="7F62203A" w:rsidR="003A367D" w:rsidRPr="00C459CC" w:rsidRDefault="00615991" w:rsidP="00B66071">
            <w:pPr>
              <w:pStyle w:val="BodyText2"/>
              <w:rPr>
                <w:sz w:val="24"/>
              </w:rPr>
            </w:pPr>
            <w:r w:rsidRPr="00C459CC">
              <w:rPr>
                <w:sz w:val="24"/>
              </w:rPr>
              <w:t>-</w:t>
            </w:r>
          </w:p>
        </w:tc>
        <w:tc>
          <w:tcPr>
            <w:tcW w:w="1648" w:type="dxa"/>
          </w:tcPr>
          <w:p w14:paraId="7236E3D5" w14:textId="727B4415" w:rsidR="003A367D" w:rsidRPr="00C459CC" w:rsidRDefault="00615991" w:rsidP="00B66071">
            <w:pPr>
              <w:pStyle w:val="BodyText2"/>
              <w:rPr>
                <w:sz w:val="24"/>
              </w:rPr>
            </w:pPr>
            <w:r w:rsidRPr="00C459CC">
              <w:rPr>
                <w:sz w:val="24"/>
              </w:rPr>
              <w:t>-</w:t>
            </w:r>
          </w:p>
        </w:tc>
      </w:tr>
      <w:tr w:rsidR="00615991" w:rsidRPr="00C459CC" w14:paraId="3B61ACE7" w14:textId="77777777" w:rsidTr="006C32FE">
        <w:trPr>
          <w:gridAfter w:val="1"/>
          <w:wAfter w:w="20" w:type="dxa"/>
        </w:trPr>
        <w:tc>
          <w:tcPr>
            <w:tcW w:w="2583" w:type="dxa"/>
          </w:tcPr>
          <w:p w14:paraId="62FD1E56" w14:textId="77777777" w:rsidR="00615991" w:rsidRPr="00C459CC" w:rsidRDefault="00615991" w:rsidP="00B66071">
            <w:pPr>
              <w:jc w:val="both"/>
            </w:pPr>
            <w:r w:rsidRPr="00C459CC">
              <w:t>d) alte tipuri de venituri</w:t>
            </w:r>
          </w:p>
          <w:p w14:paraId="5EB8BD87" w14:textId="4527B335" w:rsidR="00615991" w:rsidRPr="00C459CC" w:rsidRDefault="00615991" w:rsidP="00B66071">
            <w:pPr>
              <w:jc w:val="both"/>
            </w:pPr>
            <w:r w:rsidRPr="00C459CC">
              <w:lastRenderedPageBreak/>
              <w:t xml:space="preserve">(Se va menționa natura acestora.) </w:t>
            </w:r>
          </w:p>
        </w:tc>
        <w:tc>
          <w:tcPr>
            <w:tcW w:w="1033" w:type="dxa"/>
          </w:tcPr>
          <w:p w14:paraId="704BCA51" w14:textId="051FEA90" w:rsidR="00615991" w:rsidRPr="00C459CC" w:rsidRDefault="00615991" w:rsidP="00B66071">
            <w:pPr>
              <w:pStyle w:val="BodyText2"/>
              <w:rPr>
                <w:sz w:val="24"/>
              </w:rPr>
            </w:pPr>
            <w:r w:rsidRPr="00C459CC">
              <w:rPr>
                <w:sz w:val="24"/>
              </w:rPr>
              <w:lastRenderedPageBreak/>
              <w:t>-</w:t>
            </w:r>
          </w:p>
        </w:tc>
        <w:tc>
          <w:tcPr>
            <w:tcW w:w="1192" w:type="dxa"/>
          </w:tcPr>
          <w:p w14:paraId="269D834F" w14:textId="34764A50" w:rsidR="00615991" w:rsidRPr="00C459CC" w:rsidRDefault="00615991" w:rsidP="00B66071">
            <w:pPr>
              <w:pStyle w:val="BodyText2"/>
              <w:rPr>
                <w:sz w:val="24"/>
              </w:rPr>
            </w:pPr>
            <w:r w:rsidRPr="00C459CC">
              <w:rPr>
                <w:sz w:val="24"/>
              </w:rPr>
              <w:t>-</w:t>
            </w:r>
          </w:p>
        </w:tc>
        <w:tc>
          <w:tcPr>
            <w:tcW w:w="1274" w:type="dxa"/>
          </w:tcPr>
          <w:p w14:paraId="03C3272C" w14:textId="390DBB26" w:rsidR="00615991" w:rsidRPr="00C459CC" w:rsidRDefault="00615991" w:rsidP="00B66071">
            <w:pPr>
              <w:pStyle w:val="BodyText2"/>
              <w:rPr>
                <w:sz w:val="24"/>
              </w:rPr>
            </w:pPr>
            <w:r w:rsidRPr="00C459CC">
              <w:rPr>
                <w:sz w:val="24"/>
              </w:rPr>
              <w:t>-</w:t>
            </w:r>
          </w:p>
        </w:tc>
        <w:tc>
          <w:tcPr>
            <w:tcW w:w="1192" w:type="dxa"/>
          </w:tcPr>
          <w:p w14:paraId="70C282AC" w14:textId="5ED183B5" w:rsidR="00615991" w:rsidRPr="00C459CC" w:rsidRDefault="00615991" w:rsidP="00B66071">
            <w:pPr>
              <w:pStyle w:val="BodyText2"/>
              <w:rPr>
                <w:sz w:val="24"/>
              </w:rPr>
            </w:pPr>
            <w:r w:rsidRPr="00C459CC">
              <w:rPr>
                <w:sz w:val="24"/>
              </w:rPr>
              <w:t>-</w:t>
            </w:r>
          </w:p>
        </w:tc>
        <w:tc>
          <w:tcPr>
            <w:tcW w:w="1001" w:type="dxa"/>
          </w:tcPr>
          <w:p w14:paraId="711BE975" w14:textId="26B6ADF7" w:rsidR="00615991" w:rsidRPr="00C459CC" w:rsidRDefault="00615991" w:rsidP="00B66071">
            <w:pPr>
              <w:pStyle w:val="BodyText2"/>
              <w:rPr>
                <w:sz w:val="24"/>
              </w:rPr>
            </w:pPr>
            <w:r w:rsidRPr="00C459CC">
              <w:rPr>
                <w:sz w:val="24"/>
              </w:rPr>
              <w:t>-</w:t>
            </w:r>
          </w:p>
        </w:tc>
        <w:tc>
          <w:tcPr>
            <w:tcW w:w="1648" w:type="dxa"/>
          </w:tcPr>
          <w:p w14:paraId="56D819C6" w14:textId="493CB632" w:rsidR="00615991" w:rsidRPr="00C459CC" w:rsidRDefault="00615991" w:rsidP="00B66071">
            <w:pPr>
              <w:pStyle w:val="BodyText2"/>
              <w:rPr>
                <w:sz w:val="24"/>
              </w:rPr>
            </w:pPr>
            <w:r w:rsidRPr="00C459CC">
              <w:rPr>
                <w:sz w:val="24"/>
              </w:rPr>
              <w:t>-</w:t>
            </w:r>
          </w:p>
        </w:tc>
      </w:tr>
      <w:tr w:rsidR="00615991" w:rsidRPr="00C459CC" w14:paraId="126F1061" w14:textId="77777777" w:rsidTr="006C32FE">
        <w:trPr>
          <w:gridAfter w:val="1"/>
          <w:wAfter w:w="20" w:type="dxa"/>
        </w:trPr>
        <w:tc>
          <w:tcPr>
            <w:tcW w:w="2583" w:type="dxa"/>
          </w:tcPr>
          <w:p w14:paraId="1415B230" w14:textId="72A3E85F" w:rsidR="00615991" w:rsidRPr="00C459CC" w:rsidRDefault="00615991" w:rsidP="00B66071">
            <w:pPr>
              <w:jc w:val="both"/>
              <w:rPr>
                <w:b/>
                <w:bCs/>
              </w:rPr>
            </w:pPr>
            <w:r w:rsidRPr="00C459CC">
              <w:rPr>
                <w:b/>
                <w:bCs/>
              </w:rPr>
              <w:t>4.2. Modificări ale cheltuielilor bugetare, plus/minus, din care:</w:t>
            </w:r>
          </w:p>
        </w:tc>
        <w:tc>
          <w:tcPr>
            <w:tcW w:w="1033" w:type="dxa"/>
          </w:tcPr>
          <w:p w14:paraId="7BB1C451" w14:textId="6E9A7DD0" w:rsidR="00615991" w:rsidRPr="00C459CC" w:rsidRDefault="00615991" w:rsidP="00B66071">
            <w:pPr>
              <w:jc w:val="center"/>
            </w:pPr>
          </w:p>
        </w:tc>
        <w:tc>
          <w:tcPr>
            <w:tcW w:w="1192" w:type="dxa"/>
          </w:tcPr>
          <w:p w14:paraId="44C5A3FF" w14:textId="5D5DB2A0" w:rsidR="00615991" w:rsidRPr="00C459CC" w:rsidRDefault="00615991" w:rsidP="00B66071">
            <w:pPr>
              <w:jc w:val="center"/>
            </w:pPr>
          </w:p>
        </w:tc>
        <w:tc>
          <w:tcPr>
            <w:tcW w:w="1274" w:type="dxa"/>
          </w:tcPr>
          <w:p w14:paraId="1702DFD2" w14:textId="28B5B140" w:rsidR="00615991" w:rsidRPr="00C459CC" w:rsidRDefault="00615991" w:rsidP="00B66071">
            <w:pPr>
              <w:jc w:val="center"/>
            </w:pPr>
          </w:p>
        </w:tc>
        <w:tc>
          <w:tcPr>
            <w:tcW w:w="1192" w:type="dxa"/>
          </w:tcPr>
          <w:p w14:paraId="1D7B38D6" w14:textId="279F636A" w:rsidR="00615991" w:rsidRPr="00C459CC" w:rsidRDefault="00615991" w:rsidP="00B66071">
            <w:pPr>
              <w:jc w:val="center"/>
            </w:pPr>
          </w:p>
        </w:tc>
        <w:tc>
          <w:tcPr>
            <w:tcW w:w="1001" w:type="dxa"/>
          </w:tcPr>
          <w:p w14:paraId="09F7CD9E" w14:textId="7625EA6E" w:rsidR="00615991" w:rsidRPr="00C459CC" w:rsidRDefault="00615991" w:rsidP="00B66071">
            <w:pPr>
              <w:jc w:val="center"/>
            </w:pPr>
          </w:p>
        </w:tc>
        <w:tc>
          <w:tcPr>
            <w:tcW w:w="1648" w:type="dxa"/>
          </w:tcPr>
          <w:p w14:paraId="16493B27" w14:textId="1F46B1F6" w:rsidR="00615991" w:rsidRPr="00C459CC" w:rsidRDefault="00615991" w:rsidP="00B66071">
            <w:pPr>
              <w:jc w:val="center"/>
            </w:pPr>
          </w:p>
        </w:tc>
      </w:tr>
      <w:tr w:rsidR="00615991" w:rsidRPr="00C459CC" w14:paraId="408E6817" w14:textId="77777777" w:rsidTr="006C32FE">
        <w:trPr>
          <w:gridAfter w:val="1"/>
          <w:wAfter w:w="20" w:type="dxa"/>
        </w:trPr>
        <w:tc>
          <w:tcPr>
            <w:tcW w:w="2583" w:type="dxa"/>
          </w:tcPr>
          <w:p w14:paraId="2D265B20" w14:textId="19563007" w:rsidR="00615991" w:rsidRPr="00C459CC" w:rsidRDefault="00615991" w:rsidP="00B66071">
            <w:pPr>
              <w:jc w:val="both"/>
            </w:pPr>
            <w:r w:rsidRPr="00C459CC">
              <w:t>a) buget de stat, din acesta:</w:t>
            </w:r>
          </w:p>
          <w:p w14:paraId="3382ADB9" w14:textId="31517959" w:rsidR="00615991" w:rsidRPr="00C459CC" w:rsidRDefault="00615991" w:rsidP="00B66071">
            <w:pPr>
              <w:jc w:val="both"/>
            </w:pPr>
            <w:r w:rsidRPr="00C459CC">
              <w:t>(i) cheltuieli de personal</w:t>
            </w:r>
          </w:p>
          <w:p w14:paraId="2AF2C20C" w14:textId="24F90ED4" w:rsidR="00615991" w:rsidRPr="00C459CC" w:rsidRDefault="00615991" w:rsidP="00B66071">
            <w:pPr>
              <w:jc w:val="both"/>
            </w:pPr>
            <w:r w:rsidRPr="00C459CC">
              <w:t>(ii) bunuri şi servicii</w:t>
            </w:r>
          </w:p>
        </w:tc>
        <w:tc>
          <w:tcPr>
            <w:tcW w:w="1033" w:type="dxa"/>
          </w:tcPr>
          <w:p w14:paraId="3E0B1602" w14:textId="2880BFA1" w:rsidR="00615991" w:rsidRPr="00C459CC" w:rsidRDefault="00615991" w:rsidP="00B66071">
            <w:pPr>
              <w:jc w:val="center"/>
            </w:pPr>
            <w:r w:rsidRPr="00C459CC">
              <w:t>-</w:t>
            </w:r>
          </w:p>
        </w:tc>
        <w:tc>
          <w:tcPr>
            <w:tcW w:w="1192" w:type="dxa"/>
          </w:tcPr>
          <w:p w14:paraId="4A5827CA" w14:textId="6E4441E7" w:rsidR="00615991" w:rsidRPr="00C459CC" w:rsidRDefault="00615991" w:rsidP="00B66071">
            <w:pPr>
              <w:jc w:val="center"/>
            </w:pPr>
            <w:r w:rsidRPr="00C459CC">
              <w:t>-</w:t>
            </w:r>
          </w:p>
        </w:tc>
        <w:tc>
          <w:tcPr>
            <w:tcW w:w="1274" w:type="dxa"/>
          </w:tcPr>
          <w:p w14:paraId="32FB3ACA" w14:textId="4BA12085" w:rsidR="00615991" w:rsidRPr="00C459CC" w:rsidRDefault="00615991" w:rsidP="00B66071">
            <w:pPr>
              <w:jc w:val="center"/>
            </w:pPr>
            <w:r w:rsidRPr="00C459CC">
              <w:t>-</w:t>
            </w:r>
          </w:p>
        </w:tc>
        <w:tc>
          <w:tcPr>
            <w:tcW w:w="1192" w:type="dxa"/>
          </w:tcPr>
          <w:p w14:paraId="6B0B1905" w14:textId="7F6973D7" w:rsidR="00615991" w:rsidRPr="00C459CC" w:rsidRDefault="00615991" w:rsidP="00B66071">
            <w:pPr>
              <w:jc w:val="center"/>
            </w:pPr>
            <w:r w:rsidRPr="00C459CC">
              <w:t>-</w:t>
            </w:r>
          </w:p>
        </w:tc>
        <w:tc>
          <w:tcPr>
            <w:tcW w:w="1001" w:type="dxa"/>
          </w:tcPr>
          <w:p w14:paraId="23CBB327" w14:textId="0B8E0408" w:rsidR="00615991" w:rsidRPr="00C459CC" w:rsidRDefault="00615991" w:rsidP="00B66071">
            <w:pPr>
              <w:jc w:val="center"/>
            </w:pPr>
            <w:r w:rsidRPr="00C459CC">
              <w:t>-</w:t>
            </w:r>
          </w:p>
        </w:tc>
        <w:tc>
          <w:tcPr>
            <w:tcW w:w="1648" w:type="dxa"/>
          </w:tcPr>
          <w:p w14:paraId="58A4AD04" w14:textId="623D635F" w:rsidR="00615991" w:rsidRPr="00C459CC" w:rsidRDefault="00615991" w:rsidP="00B66071">
            <w:pPr>
              <w:jc w:val="center"/>
            </w:pPr>
            <w:r w:rsidRPr="00C459CC">
              <w:t>-</w:t>
            </w:r>
          </w:p>
        </w:tc>
      </w:tr>
      <w:tr w:rsidR="00615991" w:rsidRPr="00C459CC" w14:paraId="247EA305" w14:textId="77777777" w:rsidTr="006C32FE">
        <w:trPr>
          <w:gridAfter w:val="1"/>
          <w:wAfter w:w="20" w:type="dxa"/>
        </w:trPr>
        <w:tc>
          <w:tcPr>
            <w:tcW w:w="2583" w:type="dxa"/>
          </w:tcPr>
          <w:p w14:paraId="1413F8FD" w14:textId="15D4A2BF" w:rsidR="00615991" w:rsidRPr="00C459CC" w:rsidRDefault="00615991" w:rsidP="00B66071">
            <w:pPr>
              <w:jc w:val="both"/>
            </w:pPr>
            <w:r w:rsidRPr="00C459CC">
              <w:t>b) bugete locale:</w:t>
            </w:r>
          </w:p>
          <w:p w14:paraId="5D43B430" w14:textId="0375DEBE" w:rsidR="00615991" w:rsidRPr="00C459CC" w:rsidRDefault="00615991" w:rsidP="00B66071">
            <w:pPr>
              <w:jc w:val="both"/>
            </w:pPr>
            <w:r w:rsidRPr="00C459CC">
              <w:t>(i) cheltuieli de personal</w:t>
            </w:r>
          </w:p>
          <w:p w14:paraId="5FAAC7DC" w14:textId="3646E615" w:rsidR="00615991" w:rsidRPr="00C459CC" w:rsidRDefault="00615991" w:rsidP="00B66071">
            <w:pPr>
              <w:jc w:val="both"/>
            </w:pPr>
            <w:r w:rsidRPr="00C459CC">
              <w:t>(ii) bunuri şi servicii</w:t>
            </w:r>
          </w:p>
        </w:tc>
        <w:tc>
          <w:tcPr>
            <w:tcW w:w="1033" w:type="dxa"/>
          </w:tcPr>
          <w:p w14:paraId="35C2339D" w14:textId="681A23C1" w:rsidR="00615991" w:rsidRPr="00C459CC" w:rsidRDefault="00615991" w:rsidP="00B66071">
            <w:pPr>
              <w:jc w:val="center"/>
            </w:pPr>
            <w:r w:rsidRPr="00C459CC">
              <w:t>-</w:t>
            </w:r>
          </w:p>
        </w:tc>
        <w:tc>
          <w:tcPr>
            <w:tcW w:w="1192" w:type="dxa"/>
          </w:tcPr>
          <w:p w14:paraId="7642EF10" w14:textId="4DDA80B3" w:rsidR="00615991" w:rsidRPr="00C459CC" w:rsidRDefault="00615991" w:rsidP="00B66071">
            <w:pPr>
              <w:jc w:val="center"/>
            </w:pPr>
            <w:r w:rsidRPr="00C459CC">
              <w:t>-</w:t>
            </w:r>
          </w:p>
        </w:tc>
        <w:tc>
          <w:tcPr>
            <w:tcW w:w="1274" w:type="dxa"/>
          </w:tcPr>
          <w:p w14:paraId="00DA41A3" w14:textId="528827D8" w:rsidR="00615991" w:rsidRPr="00C459CC" w:rsidRDefault="00615991" w:rsidP="00B66071">
            <w:pPr>
              <w:jc w:val="center"/>
            </w:pPr>
            <w:r w:rsidRPr="00C459CC">
              <w:t>-</w:t>
            </w:r>
          </w:p>
        </w:tc>
        <w:tc>
          <w:tcPr>
            <w:tcW w:w="1192" w:type="dxa"/>
          </w:tcPr>
          <w:p w14:paraId="5014B167" w14:textId="4C6D7AFC" w:rsidR="00615991" w:rsidRPr="00C459CC" w:rsidRDefault="00615991" w:rsidP="00B66071">
            <w:pPr>
              <w:jc w:val="center"/>
            </w:pPr>
            <w:r w:rsidRPr="00C459CC">
              <w:t>-</w:t>
            </w:r>
          </w:p>
        </w:tc>
        <w:tc>
          <w:tcPr>
            <w:tcW w:w="1001" w:type="dxa"/>
          </w:tcPr>
          <w:p w14:paraId="44E6962F" w14:textId="1F13F682" w:rsidR="00615991" w:rsidRPr="00C459CC" w:rsidRDefault="00615991" w:rsidP="00B66071">
            <w:pPr>
              <w:jc w:val="center"/>
            </w:pPr>
            <w:r w:rsidRPr="00C459CC">
              <w:t>-</w:t>
            </w:r>
          </w:p>
        </w:tc>
        <w:tc>
          <w:tcPr>
            <w:tcW w:w="1648" w:type="dxa"/>
          </w:tcPr>
          <w:p w14:paraId="5D1C5F3E" w14:textId="5BE48E59" w:rsidR="00615991" w:rsidRPr="00C459CC" w:rsidRDefault="00615991" w:rsidP="00B66071">
            <w:pPr>
              <w:jc w:val="center"/>
            </w:pPr>
            <w:r w:rsidRPr="00C459CC">
              <w:t>-</w:t>
            </w:r>
          </w:p>
        </w:tc>
      </w:tr>
      <w:tr w:rsidR="00615991" w:rsidRPr="00C459CC" w14:paraId="64A76806" w14:textId="77777777" w:rsidTr="006C32FE">
        <w:trPr>
          <w:gridAfter w:val="1"/>
          <w:wAfter w:w="20" w:type="dxa"/>
        </w:trPr>
        <w:tc>
          <w:tcPr>
            <w:tcW w:w="2583" w:type="dxa"/>
          </w:tcPr>
          <w:p w14:paraId="30172BDF" w14:textId="0D2320D4" w:rsidR="00615991" w:rsidRPr="00C459CC" w:rsidRDefault="00615991" w:rsidP="00B66071">
            <w:pPr>
              <w:jc w:val="both"/>
            </w:pPr>
            <w:r w:rsidRPr="00C459CC">
              <w:t>c) bugetul asigurărilor sociale de stat:</w:t>
            </w:r>
          </w:p>
          <w:p w14:paraId="03FADADD" w14:textId="1EB62078" w:rsidR="00615991" w:rsidRPr="00C459CC" w:rsidRDefault="00615991" w:rsidP="00B66071">
            <w:pPr>
              <w:jc w:val="both"/>
            </w:pPr>
            <w:r w:rsidRPr="00C459CC">
              <w:t>(i) cheltuieli de personal</w:t>
            </w:r>
          </w:p>
          <w:p w14:paraId="55656529" w14:textId="757B5B4C" w:rsidR="00615991" w:rsidRPr="00C459CC" w:rsidRDefault="00615991" w:rsidP="00B66071">
            <w:pPr>
              <w:jc w:val="both"/>
            </w:pPr>
            <w:r w:rsidRPr="00C459CC">
              <w:t>(ii) bunuri şi servicii</w:t>
            </w:r>
          </w:p>
        </w:tc>
        <w:tc>
          <w:tcPr>
            <w:tcW w:w="1033" w:type="dxa"/>
          </w:tcPr>
          <w:p w14:paraId="2DE6BAAD" w14:textId="6A35E437" w:rsidR="00615991" w:rsidRPr="00C459CC" w:rsidRDefault="00615991" w:rsidP="00B66071">
            <w:pPr>
              <w:jc w:val="center"/>
            </w:pPr>
            <w:r w:rsidRPr="00C459CC">
              <w:t>-</w:t>
            </w:r>
          </w:p>
        </w:tc>
        <w:tc>
          <w:tcPr>
            <w:tcW w:w="1192" w:type="dxa"/>
          </w:tcPr>
          <w:p w14:paraId="07943E17" w14:textId="308103CC" w:rsidR="00615991" w:rsidRPr="00C459CC" w:rsidRDefault="00615991" w:rsidP="00B66071">
            <w:pPr>
              <w:jc w:val="center"/>
            </w:pPr>
            <w:r w:rsidRPr="00C459CC">
              <w:t>-</w:t>
            </w:r>
          </w:p>
        </w:tc>
        <w:tc>
          <w:tcPr>
            <w:tcW w:w="1274" w:type="dxa"/>
          </w:tcPr>
          <w:p w14:paraId="5D1EB785" w14:textId="607B7F93" w:rsidR="00615991" w:rsidRPr="00C459CC" w:rsidRDefault="00615991" w:rsidP="00B66071">
            <w:pPr>
              <w:jc w:val="center"/>
            </w:pPr>
            <w:r w:rsidRPr="00C459CC">
              <w:t>-</w:t>
            </w:r>
          </w:p>
        </w:tc>
        <w:tc>
          <w:tcPr>
            <w:tcW w:w="1192" w:type="dxa"/>
          </w:tcPr>
          <w:p w14:paraId="7E7347DF" w14:textId="7CDA1BC4" w:rsidR="00615991" w:rsidRPr="00C459CC" w:rsidRDefault="00615991" w:rsidP="00B66071">
            <w:pPr>
              <w:jc w:val="center"/>
            </w:pPr>
            <w:r w:rsidRPr="00C459CC">
              <w:t>-</w:t>
            </w:r>
          </w:p>
        </w:tc>
        <w:tc>
          <w:tcPr>
            <w:tcW w:w="1001" w:type="dxa"/>
          </w:tcPr>
          <w:p w14:paraId="27993F0F" w14:textId="56682796" w:rsidR="00615991" w:rsidRPr="00C459CC" w:rsidRDefault="00615991" w:rsidP="00B66071">
            <w:pPr>
              <w:jc w:val="center"/>
            </w:pPr>
            <w:r w:rsidRPr="00C459CC">
              <w:t>-</w:t>
            </w:r>
          </w:p>
        </w:tc>
        <w:tc>
          <w:tcPr>
            <w:tcW w:w="1648" w:type="dxa"/>
          </w:tcPr>
          <w:p w14:paraId="3D14DE78" w14:textId="74C38938" w:rsidR="00615991" w:rsidRPr="00C459CC" w:rsidRDefault="00615991" w:rsidP="00B66071">
            <w:pPr>
              <w:jc w:val="center"/>
            </w:pPr>
            <w:r w:rsidRPr="00C459CC">
              <w:t>-</w:t>
            </w:r>
          </w:p>
        </w:tc>
      </w:tr>
      <w:tr w:rsidR="00615991" w:rsidRPr="00C459CC" w14:paraId="5C3A403A" w14:textId="77777777" w:rsidTr="006C32FE">
        <w:trPr>
          <w:gridAfter w:val="1"/>
          <w:wAfter w:w="20" w:type="dxa"/>
        </w:trPr>
        <w:tc>
          <w:tcPr>
            <w:tcW w:w="2583" w:type="dxa"/>
          </w:tcPr>
          <w:p w14:paraId="3BF8A849" w14:textId="176DF995" w:rsidR="00615991" w:rsidRPr="00C459CC" w:rsidRDefault="00615991" w:rsidP="00B66071">
            <w:pPr>
              <w:jc w:val="both"/>
            </w:pPr>
            <w:r w:rsidRPr="00C459CC">
              <w:t>d) alte tipuri de cheltuieli</w:t>
            </w:r>
          </w:p>
          <w:p w14:paraId="359EE9C4" w14:textId="710C86CB" w:rsidR="00615991" w:rsidRPr="00C459CC" w:rsidRDefault="00615991" w:rsidP="00B66071">
            <w:pPr>
              <w:jc w:val="both"/>
            </w:pPr>
            <w:r w:rsidRPr="00C459CC">
              <w:t>(Se va menționa natura acestora.)</w:t>
            </w:r>
          </w:p>
        </w:tc>
        <w:tc>
          <w:tcPr>
            <w:tcW w:w="1033" w:type="dxa"/>
          </w:tcPr>
          <w:p w14:paraId="2C7AC338" w14:textId="51802A9E" w:rsidR="00615991" w:rsidRPr="00C459CC" w:rsidRDefault="00615991" w:rsidP="00B66071">
            <w:pPr>
              <w:jc w:val="center"/>
            </w:pPr>
            <w:r w:rsidRPr="00C459CC">
              <w:t>-</w:t>
            </w:r>
          </w:p>
        </w:tc>
        <w:tc>
          <w:tcPr>
            <w:tcW w:w="1192" w:type="dxa"/>
          </w:tcPr>
          <w:p w14:paraId="7CA00BF7" w14:textId="3CEFD3CE" w:rsidR="00615991" w:rsidRPr="00C459CC" w:rsidRDefault="00615991" w:rsidP="00B66071">
            <w:pPr>
              <w:jc w:val="center"/>
            </w:pPr>
            <w:r w:rsidRPr="00C459CC">
              <w:t>-</w:t>
            </w:r>
          </w:p>
        </w:tc>
        <w:tc>
          <w:tcPr>
            <w:tcW w:w="1274" w:type="dxa"/>
          </w:tcPr>
          <w:p w14:paraId="22F7EDA8" w14:textId="579D4899" w:rsidR="00615991" w:rsidRPr="00C459CC" w:rsidRDefault="00615991" w:rsidP="00B66071">
            <w:pPr>
              <w:jc w:val="center"/>
            </w:pPr>
            <w:r w:rsidRPr="00C459CC">
              <w:t>-</w:t>
            </w:r>
          </w:p>
        </w:tc>
        <w:tc>
          <w:tcPr>
            <w:tcW w:w="1192" w:type="dxa"/>
          </w:tcPr>
          <w:p w14:paraId="1C65014D" w14:textId="47F6E95A" w:rsidR="00615991" w:rsidRPr="00C459CC" w:rsidRDefault="00615991" w:rsidP="00B66071">
            <w:pPr>
              <w:jc w:val="center"/>
            </w:pPr>
            <w:r w:rsidRPr="00C459CC">
              <w:t>-</w:t>
            </w:r>
          </w:p>
        </w:tc>
        <w:tc>
          <w:tcPr>
            <w:tcW w:w="1001" w:type="dxa"/>
          </w:tcPr>
          <w:p w14:paraId="69EFB472" w14:textId="6662FE61" w:rsidR="00615991" w:rsidRPr="00C459CC" w:rsidRDefault="00615991" w:rsidP="00B66071">
            <w:pPr>
              <w:jc w:val="center"/>
            </w:pPr>
            <w:r w:rsidRPr="00C459CC">
              <w:t>-</w:t>
            </w:r>
          </w:p>
        </w:tc>
        <w:tc>
          <w:tcPr>
            <w:tcW w:w="1648" w:type="dxa"/>
          </w:tcPr>
          <w:p w14:paraId="2BEA7293" w14:textId="7EC5C386" w:rsidR="00615991" w:rsidRPr="00C459CC" w:rsidRDefault="00615991" w:rsidP="00B66071">
            <w:pPr>
              <w:jc w:val="center"/>
            </w:pPr>
            <w:r w:rsidRPr="00C459CC">
              <w:t>-</w:t>
            </w:r>
          </w:p>
        </w:tc>
      </w:tr>
      <w:tr w:rsidR="00615991" w:rsidRPr="00C459CC" w14:paraId="6E9F3798" w14:textId="77777777" w:rsidTr="006C32FE">
        <w:trPr>
          <w:gridAfter w:val="1"/>
          <w:wAfter w:w="20" w:type="dxa"/>
        </w:trPr>
        <w:tc>
          <w:tcPr>
            <w:tcW w:w="2583" w:type="dxa"/>
          </w:tcPr>
          <w:p w14:paraId="1C49C2EC" w14:textId="77777777" w:rsidR="00615991" w:rsidRPr="00C459CC" w:rsidRDefault="00615991" w:rsidP="00B66071">
            <w:pPr>
              <w:jc w:val="both"/>
              <w:rPr>
                <w:b/>
                <w:bCs/>
              </w:rPr>
            </w:pPr>
            <w:r w:rsidRPr="00C459CC">
              <w:rPr>
                <w:b/>
                <w:bCs/>
              </w:rPr>
              <w:t>4.3. Impact financiar, plus/minus, din care:</w:t>
            </w:r>
          </w:p>
          <w:p w14:paraId="656BFCEC" w14:textId="54C7982C" w:rsidR="00615991" w:rsidRPr="00C459CC" w:rsidRDefault="00615991" w:rsidP="00B66071">
            <w:pPr>
              <w:jc w:val="both"/>
            </w:pPr>
            <w:r w:rsidRPr="00C459CC">
              <w:t>a) buget de stat</w:t>
            </w:r>
          </w:p>
        </w:tc>
        <w:tc>
          <w:tcPr>
            <w:tcW w:w="1033" w:type="dxa"/>
          </w:tcPr>
          <w:p w14:paraId="7AD2D601" w14:textId="092F255A" w:rsidR="00615991" w:rsidRPr="00C459CC" w:rsidRDefault="00615991" w:rsidP="00B66071">
            <w:pPr>
              <w:jc w:val="center"/>
            </w:pPr>
          </w:p>
        </w:tc>
        <w:tc>
          <w:tcPr>
            <w:tcW w:w="1192" w:type="dxa"/>
          </w:tcPr>
          <w:p w14:paraId="0568D044" w14:textId="396C4210" w:rsidR="00615991" w:rsidRPr="00C459CC" w:rsidRDefault="00615991" w:rsidP="00B66071">
            <w:pPr>
              <w:jc w:val="center"/>
            </w:pPr>
          </w:p>
        </w:tc>
        <w:tc>
          <w:tcPr>
            <w:tcW w:w="1274" w:type="dxa"/>
          </w:tcPr>
          <w:p w14:paraId="210A6366" w14:textId="42D67C53" w:rsidR="00615991" w:rsidRPr="00C459CC" w:rsidRDefault="00615991" w:rsidP="00B66071">
            <w:pPr>
              <w:jc w:val="center"/>
            </w:pPr>
          </w:p>
        </w:tc>
        <w:tc>
          <w:tcPr>
            <w:tcW w:w="1192" w:type="dxa"/>
          </w:tcPr>
          <w:p w14:paraId="2693F75B" w14:textId="7456D92D" w:rsidR="00615991" w:rsidRPr="00C459CC" w:rsidRDefault="00615991" w:rsidP="00B66071">
            <w:pPr>
              <w:jc w:val="center"/>
            </w:pPr>
          </w:p>
        </w:tc>
        <w:tc>
          <w:tcPr>
            <w:tcW w:w="1001" w:type="dxa"/>
          </w:tcPr>
          <w:p w14:paraId="1585137C" w14:textId="59C84DA0" w:rsidR="00615991" w:rsidRPr="00C459CC" w:rsidRDefault="00615991" w:rsidP="00B66071">
            <w:pPr>
              <w:jc w:val="center"/>
            </w:pPr>
          </w:p>
        </w:tc>
        <w:tc>
          <w:tcPr>
            <w:tcW w:w="1648" w:type="dxa"/>
          </w:tcPr>
          <w:p w14:paraId="2D494315" w14:textId="27935248" w:rsidR="00615991" w:rsidRPr="00C459CC" w:rsidRDefault="00615991" w:rsidP="00B66071">
            <w:pPr>
              <w:jc w:val="center"/>
            </w:pPr>
          </w:p>
        </w:tc>
      </w:tr>
      <w:tr w:rsidR="00615991" w:rsidRPr="00C459CC" w14:paraId="3177FEF7" w14:textId="77777777" w:rsidTr="006C32FE">
        <w:trPr>
          <w:gridAfter w:val="1"/>
          <w:wAfter w:w="20" w:type="dxa"/>
        </w:trPr>
        <w:tc>
          <w:tcPr>
            <w:tcW w:w="2583" w:type="dxa"/>
          </w:tcPr>
          <w:p w14:paraId="33908C4A" w14:textId="118E34DE" w:rsidR="00615991" w:rsidRPr="00C459CC" w:rsidRDefault="00615991" w:rsidP="00B66071">
            <w:pPr>
              <w:jc w:val="both"/>
            </w:pPr>
            <w:r w:rsidRPr="00C459CC">
              <w:t>b) bugete locale</w:t>
            </w:r>
          </w:p>
        </w:tc>
        <w:tc>
          <w:tcPr>
            <w:tcW w:w="1033" w:type="dxa"/>
          </w:tcPr>
          <w:p w14:paraId="4B62CC0C" w14:textId="4657ECCF" w:rsidR="00615991" w:rsidRPr="00C459CC" w:rsidRDefault="00615991" w:rsidP="00B66071">
            <w:pPr>
              <w:jc w:val="center"/>
            </w:pPr>
            <w:r w:rsidRPr="00C459CC">
              <w:t>-</w:t>
            </w:r>
          </w:p>
        </w:tc>
        <w:tc>
          <w:tcPr>
            <w:tcW w:w="1192" w:type="dxa"/>
          </w:tcPr>
          <w:p w14:paraId="283AC80B" w14:textId="362498CB" w:rsidR="00615991" w:rsidRPr="00C459CC" w:rsidRDefault="00615991" w:rsidP="00B66071">
            <w:pPr>
              <w:jc w:val="center"/>
            </w:pPr>
            <w:r w:rsidRPr="00C459CC">
              <w:t>-</w:t>
            </w:r>
          </w:p>
        </w:tc>
        <w:tc>
          <w:tcPr>
            <w:tcW w:w="1274" w:type="dxa"/>
          </w:tcPr>
          <w:p w14:paraId="7219261C" w14:textId="3506642F" w:rsidR="00615991" w:rsidRPr="00C459CC" w:rsidRDefault="00615991" w:rsidP="00B66071">
            <w:pPr>
              <w:jc w:val="center"/>
            </w:pPr>
            <w:r w:rsidRPr="00C459CC">
              <w:t>-</w:t>
            </w:r>
          </w:p>
        </w:tc>
        <w:tc>
          <w:tcPr>
            <w:tcW w:w="1192" w:type="dxa"/>
          </w:tcPr>
          <w:p w14:paraId="49D7F163" w14:textId="513E4101" w:rsidR="00615991" w:rsidRPr="00C459CC" w:rsidRDefault="00615991" w:rsidP="00B66071">
            <w:pPr>
              <w:jc w:val="center"/>
            </w:pPr>
            <w:r w:rsidRPr="00C459CC">
              <w:t>-</w:t>
            </w:r>
          </w:p>
        </w:tc>
        <w:tc>
          <w:tcPr>
            <w:tcW w:w="1001" w:type="dxa"/>
          </w:tcPr>
          <w:p w14:paraId="7C544E7C" w14:textId="5C50ACB6" w:rsidR="00615991" w:rsidRPr="00C459CC" w:rsidRDefault="00615991" w:rsidP="00B66071">
            <w:pPr>
              <w:jc w:val="center"/>
            </w:pPr>
            <w:r w:rsidRPr="00C459CC">
              <w:t>-</w:t>
            </w:r>
          </w:p>
        </w:tc>
        <w:tc>
          <w:tcPr>
            <w:tcW w:w="1648" w:type="dxa"/>
          </w:tcPr>
          <w:p w14:paraId="4953DDFD" w14:textId="1DFEAACB" w:rsidR="00615991" w:rsidRPr="00C459CC" w:rsidRDefault="00615991" w:rsidP="00B66071">
            <w:pPr>
              <w:jc w:val="center"/>
            </w:pPr>
            <w:r w:rsidRPr="00C459CC">
              <w:t>-</w:t>
            </w:r>
          </w:p>
        </w:tc>
      </w:tr>
      <w:tr w:rsidR="00615991" w:rsidRPr="00C459CC" w14:paraId="4B985901" w14:textId="77777777" w:rsidTr="006C32FE">
        <w:trPr>
          <w:gridAfter w:val="1"/>
          <w:wAfter w:w="20" w:type="dxa"/>
        </w:trPr>
        <w:tc>
          <w:tcPr>
            <w:tcW w:w="2583" w:type="dxa"/>
          </w:tcPr>
          <w:p w14:paraId="41F94191" w14:textId="4D675AF2" w:rsidR="00615991" w:rsidRPr="00C459CC" w:rsidRDefault="00615991" w:rsidP="00B66071">
            <w:pPr>
              <w:jc w:val="both"/>
              <w:rPr>
                <w:b/>
                <w:bCs/>
              </w:rPr>
            </w:pPr>
            <w:r w:rsidRPr="00C459CC">
              <w:rPr>
                <w:b/>
                <w:bCs/>
              </w:rPr>
              <w:t>4.4. Propuneri pentru acoperirea creşterii cheltuielilor bugetare</w:t>
            </w:r>
          </w:p>
        </w:tc>
        <w:tc>
          <w:tcPr>
            <w:tcW w:w="1033" w:type="dxa"/>
          </w:tcPr>
          <w:p w14:paraId="12553E7B" w14:textId="4DEAFE12" w:rsidR="00615991" w:rsidRPr="00C459CC" w:rsidRDefault="00615991" w:rsidP="00B66071">
            <w:pPr>
              <w:jc w:val="center"/>
            </w:pPr>
            <w:r w:rsidRPr="00C459CC">
              <w:t>-</w:t>
            </w:r>
          </w:p>
        </w:tc>
        <w:tc>
          <w:tcPr>
            <w:tcW w:w="1192" w:type="dxa"/>
          </w:tcPr>
          <w:p w14:paraId="6B4AB040" w14:textId="4B21C797" w:rsidR="00615991" w:rsidRPr="00C459CC" w:rsidRDefault="00615991" w:rsidP="00B66071">
            <w:pPr>
              <w:jc w:val="center"/>
            </w:pPr>
            <w:r w:rsidRPr="00C459CC">
              <w:t>-</w:t>
            </w:r>
          </w:p>
        </w:tc>
        <w:tc>
          <w:tcPr>
            <w:tcW w:w="1274" w:type="dxa"/>
          </w:tcPr>
          <w:p w14:paraId="2B58709A" w14:textId="69F2B788" w:rsidR="00615991" w:rsidRPr="00C459CC" w:rsidRDefault="00615991" w:rsidP="00B66071">
            <w:pPr>
              <w:jc w:val="center"/>
            </w:pPr>
            <w:r w:rsidRPr="00C459CC">
              <w:t>-</w:t>
            </w:r>
          </w:p>
        </w:tc>
        <w:tc>
          <w:tcPr>
            <w:tcW w:w="1192" w:type="dxa"/>
          </w:tcPr>
          <w:p w14:paraId="7AE48667" w14:textId="1F77C7C8" w:rsidR="00615991" w:rsidRPr="00C459CC" w:rsidRDefault="00615991" w:rsidP="00B66071">
            <w:pPr>
              <w:jc w:val="center"/>
            </w:pPr>
            <w:r w:rsidRPr="00C459CC">
              <w:t>-</w:t>
            </w:r>
          </w:p>
        </w:tc>
        <w:tc>
          <w:tcPr>
            <w:tcW w:w="1001" w:type="dxa"/>
          </w:tcPr>
          <w:p w14:paraId="2C05220B" w14:textId="5138024C" w:rsidR="00615991" w:rsidRPr="00C459CC" w:rsidRDefault="00615991" w:rsidP="00B66071">
            <w:pPr>
              <w:jc w:val="center"/>
            </w:pPr>
            <w:r w:rsidRPr="00C459CC">
              <w:t>-</w:t>
            </w:r>
          </w:p>
        </w:tc>
        <w:tc>
          <w:tcPr>
            <w:tcW w:w="1648" w:type="dxa"/>
          </w:tcPr>
          <w:p w14:paraId="5BF7C6F4" w14:textId="6CBCF1C0" w:rsidR="00615991" w:rsidRPr="00C459CC" w:rsidRDefault="00615991" w:rsidP="00B66071">
            <w:pPr>
              <w:jc w:val="center"/>
            </w:pPr>
            <w:r w:rsidRPr="00C459CC">
              <w:t>-</w:t>
            </w:r>
          </w:p>
        </w:tc>
      </w:tr>
      <w:tr w:rsidR="00615991" w:rsidRPr="00C459CC" w14:paraId="0936FEC1" w14:textId="77777777" w:rsidTr="006C32FE">
        <w:trPr>
          <w:gridAfter w:val="1"/>
          <w:wAfter w:w="20" w:type="dxa"/>
        </w:trPr>
        <w:tc>
          <w:tcPr>
            <w:tcW w:w="2583" w:type="dxa"/>
          </w:tcPr>
          <w:p w14:paraId="31602873" w14:textId="19763228" w:rsidR="00615991" w:rsidRPr="00C459CC" w:rsidRDefault="00615991" w:rsidP="00B66071">
            <w:pPr>
              <w:jc w:val="both"/>
              <w:rPr>
                <w:b/>
                <w:bCs/>
              </w:rPr>
            </w:pPr>
            <w:r w:rsidRPr="00C459CC">
              <w:rPr>
                <w:b/>
                <w:bCs/>
              </w:rPr>
              <w:t>4.5. Propuneri pentru a compensa reducerea veniturilor bugetare</w:t>
            </w:r>
          </w:p>
        </w:tc>
        <w:tc>
          <w:tcPr>
            <w:tcW w:w="1033" w:type="dxa"/>
          </w:tcPr>
          <w:p w14:paraId="50FCA196" w14:textId="5B3BD89E" w:rsidR="00615991" w:rsidRPr="00C459CC" w:rsidRDefault="00615991" w:rsidP="00B66071">
            <w:pPr>
              <w:jc w:val="center"/>
            </w:pPr>
            <w:r w:rsidRPr="00C459CC">
              <w:t>-</w:t>
            </w:r>
          </w:p>
        </w:tc>
        <w:tc>
          <w:tcPr>
            <w:tcW w:w="1192" w:type="dxa"/>
          </w:tcPr>
          <w:p w14:paraId="06CFE138" w14:textId="21F1F9FF" w:rsidR="00615991" w:rsidRPr="00C459CC" w:rsidRDefault="00615991" w:rsidP="00B66071">
            <w:pPr>
              <w:jc w:val="center"/>
            </w:pPr>
            <w:r w:rsidRPr="00C459CC">
              <w:t>-</w:t>
            </w:r>
          </w:p>
        </w:tc>
        <w:tc>
          <w:tcPr>
            <w:tcW w:w="1274" w:type="dxa"/>
          </w:tcPr>
          <w:p w14:paraId="6FFFE022" w14:textId="5B1061E2" w:rsidR="00615991" w:rsidRPr="00C459CC" w:rsidRDefault="00615991" w:rsidP="00B66071">
            <w:pPr>
              <w:jc w:val="center"/>
            </w:pPr>
            <w:r w:rsidRPr="00C459CC">
              <w:t>-</w:t>
            </w:r>
          </w:p>
        </w:tc>
        <w:tc>
          <w:tcPr>
            <w:tcW w:w="1192" w:type="dxa"/>
          </w:tcPr>
          <w:p w14:paraId="46465A6F" w14:textId="1E88086D" w:rsidR="00615991" w:rsidRPr="00C459CC" w:rsidRDefault="00615991" w:rsidP="00B66071">
            <w:pPr>
              <w:jc w:val="center"/>
            </w:pPr>
            <w:r w:rsidRPr="00C459CC">
              <w:t>-</w:t>
            </w:r>
          </w:p>
        </w:tc>
        <w:tc>
          <w:tcPr>
            <w:tcW w:w="1001" w:type="dxa"/>
          </w:tcPr>
          <w:p w14:paraId="14082553" w14:textId="63B7F199" w:rsidR="00615991" w:rsidRPr="00C459CC" w:rsidRDefault="00615991" w:rsidP="00B66071">
            <w:pPr>
              <w:jc w:val="center"/>
            </w:pPr>
            <w:r w:rsidRPr="00C459CC">
              <w:t>-</w:t>
            </w:r>
          </w:p>
        </w:tc>
        <w:tc>
          <w:tcPr>
            <w:tcW w:w="1648" w:type="dxa"/>
          </w:tcPr>
          <w:p w14:paraId="178CA231" w14:textId="22BC56AC" w:rsidR="00615991" w:rsidRPr="00C459CC" w:rsidRDefault="00615991" w:rsidP="00B66071">
            <w:pPr>
              <w:jc w:val="center"/>
            </w:pPr>
            <w:r w:rsidRPr="00C459CC">
              <w:t>-</w:t>
            </w:r>
          </w:p>
        </w:tc>
      </w:tr>
      <w:tr w:rsidR="00615991" w:rsidRPr="00C459CC" w14:paraId="153D0F09" w14:textId="77777777" w:rsidTr="006C32FE">
        <w:trPr>
          <w:gridAfter w:val="1"/>
          <w:wAfter w:w="20" w:type="dxa"/>
        </w:trPr>
        <w:tc>
          <w:tcPr>
            <w:tcW w:w="2583" w:type="dxa"/>
          </w:tcPr>
          <w:p w14:paraId="4E7FCDBB" w14:textId="336B0E28" w:rsidR="00615991" w:rsidRPr="00C459CC" w:rsidRDefault="00615991" w:rsidP="00B66071">
            <w:pPr>
              <w:jc w:val="both"/>
              <w:rPr>
                <w:b/>
                <w:bCs/>
              </w:rPr>
            </w:pPr>
            <w:r w:rsidRPr="00C459CC">
              <w:rPr>
                <w:b/>
                <w:bCs/>
              </w:rPr>
              <w:t>4.6. Calcule detaliate privind fundamentarea modificărilor  veniturilor şi/sau cheltuielilor bugetare</w:t>
            </w:r>
          </w:p>
        </w:tc>
        <w:tc>
          <w:tcPr>
            <w:tcW w:w="1033" w:type="dxa"/>
          </w:tcPr>
          <w:p w14:paraId="18046DC1" w14:textId="2E55C107" w:rsidR="00615991" w:rsidRPr="00C459CC" w:rsidRDefault="00615991" w:rsidP="00B66071">
            <w:pPr>
              <w:jc w:val="center"/>
            </w:pPr>
            <w:r w:rsidRPr="00C459CC">
              <w:t>-</w:t>
            </w:r>
          </w:p>
        </w:tc>
        <w:tc>
          <w:tcPr>
            <w:tcW w:w="1192" w:type="dxa"/>
          </w:tcPr>
          <w:p w14:paraId="7CF35163" w14:textId="2ADAFA64" w:rsidR="00615991" w:rsidRPr="00C459CC" w:rsidRDefault="00615991" w:rsidP="00B66071">
            <w:pPr>
              <w:jc w:val="center"/>
            </w:pPr>
            <w:r w:rsidRPr="00C459CC">
              <w:t>-</w:t>
            </w:r>
          </w:p>
        </w:tc>
        <w:tc>
          <w:tcPr>
            <w:tcW w:w="1274" w:type="dxa"/>
          </w:tcPr>
          <w:p w14:paraId="1D863FB9" w14:textId="2DC4A7CB" w:rsidR="00615991" w:rsidRPr="00C459CC" w:rsidRDefault="00615991" w:rsidP="00B66071">
            <w:pPr>
              <w:jc w:val="center"/>
            </w:pPr>
            <w:r w:rsidRPr="00C459CC">
              <w:t>-</w:t>
            </w:r>
          </w:p>
        </w:tc>
        <w:tc>
          <w:tcPr>
            <w:tcW w:w="1192" w:type="dxa"/>
          </w:tcPr>
          <w:p w14:paraId="42476051" w14:textId="6C65EBF0" w:rsidR="00615991" w:rsidRPr="00C459CC" w:rsidRDefault="00615991" w:rsidP="00B66071">
            <w:pPr>
              <w:jc w:val="center"/>
            </w:pPr>
            <w:r w:rsidRPr="00C459CC">
              <w:t>-</w:t>
            </w:r>
          </w:p>
        </w:tc>
        <w:tc>
          <w:tcPr>
            <w:tcW w:w="1001" w:type="dxa"/>
          </w:tcPr>
          <w:p w14:paraId="4746E189" w14:textId="1D19442F" w:rsidR="00615991" w:rsidRPr="00C459CC" w:rsidRDefault="00615991" w:rsidP="00B66071">
            <w:pPr>
              <w:jc w:val="center"/>
            </w:pPr>
            <w:r w:rsidRPr="00C459CC">
              <w:t>-</w:t>
            </w:r>
          </w:p>
        </w:tc>
        <w:tc>
          <w:tcPr>
            <w:tcW w:w="1648" w:type="dxa"/>
          </w:tcPr>
          <w:p w14:paraId="05472402" w14:textId="6D598B6C" w:rsidR="00615991" w:rsidRPr="00C459CC" w:rsidRDefault="00615991" w:rsidP="00B66071">
            <w:pPr>
              <w:jc w:val="center"/>
            </w:pPr>
            <w:r w:rsidRPr="00C459CC">
              <w:t>-</w:t>
            </w:r>
          </w:p>
        </w:tc>
      </w:tr>
      <w:tr w:rsidR="00A75729" w:rsidRPr="00C459CC" w14:paraId="260B3CE9" w14:textId="77777777" w:rsidTr="006C32FE">
        <w:trPr>
          <w:gridAfter w:val="1"/>
          <w:wAfter w:w="20" w:type="dxa"/>
        </w:trPr>
        <w:tc>
          <w:tcPr>
            <w:tcW w:w="9923" w:type="dxa"/>
            <w:gridSpan w:val="7"/>
          </w:tcPr>
          <w:p w14:paraId="38A65360" w14:textId="7BB19CF9" w:rsidR="00A75729" w:rsidRPr="00C459CC" w:rsidRDefault="00A75729" w:rsidP="003645BA">
            <w:pPr>
              <w:ind w:firstLine="318"/>
              <w:jc w:val="both"/>
              <w:rPr>
                <w:b/>
                <w:bCs/>
              </w:rPr>
            </w:pPr>
            <w:r w:rsidRPr="00C459CC">
              <w:rPr>
                <w:b/>
                <w:bCs/>
              </w:rPr>
              <w:t>4.7. Prezentarea, în cazul proiectelor de acte normative</w:t>
            </w:r>
            <w:r w:rsidR="00A60FAE" w:rsidRPr="00C459CC">
              <w:rPr>
                <w:b/>
                <w:bCs/>
              </w:rPr>
              <w:t xml:space="preserve"> a căror adaptare atrage majorarea cheltuielilor bugetare, a următoarelor documente:</w:t>
            </w:r>
          </w:p>
          <w:p w14:paraId="67DFFAEF" w14:textId="350B0C6A" w:rsidR="00A60FAE" w:rsidRPr="00C459CC" w:rsidRDefault="00A60FAE" w:rsidP="003645BA">
            <w:pPr>
              <w:ind w:firstLine="318"/>
              <w:jc w:val="both"/>
            </w:pPr>
            <w:r w:rsidRPr="00C459CC">
              <w:t>a) fișa financiară prevăzută la art. 15 din Legea nr. 500/2002 privind finanțele publice, cu modificările și completările ulterioare, însoțită de ipotezele și metodologia de calcul utilizată;</w:t>
            </w:r>
          </w:p>
          <w:p w14:paraId="699F79A9" w14:textId="3858F0A9" w:rsidR="00A60FAE" w:rsidRPr="00C459CC" w:rsidRDefault="00A60FAE" w:rsidP="003645BA">
            <w:pPr>
              <w:ind w:firstLine="318"/>
              <w:jc w:val="both"/>
            </w:pPr>
            <w:r w:rsidRPr="00C459CC">
              <w:t xml:space="preserve">b) declarație conform căreia majorarea de cheltuială respectivă este compatibilă cu obiectivele și prioritățile strategice specificate în strategia fiscal-bugetară, cu legea bugetară anuală și cu plafoanele </w:t>
            </w:r>
            <w:r w:rsidR="00A82648" w:rsidRPr="00C459CC">
              <w:t xml:space="preserve">de cheltuieli </w:t>
            </w:r>
            <w:r w:rsidRPr="00C459CC">
              <w:t>prezentate în strategia fiscal-bugetară.</w:t>
            </w:r>
          </w:p>
        </w:tc>
      </w:tr>
      <w:tr w:rsidR="00B4537B" w:rsidRPr="00C459CC" w14:paraId="675CE50B" w14:textId="77777777" w:rsidTr="006C32FE">
        <w:trPr>
          <w:gridAfter w:val="1"/>
          <w:wAfter w:w="20" w:type="dxa"/>
        </w:trPr>
        <w:tc>
          <w:tcPr>
            <w:tcW w:w="9923" w:type="dxa"/>
            <w:gridSpan w:val="7"/>
          </w:tcPr>
          <w:p w14:paraId="2D394C58" w14:textId="77777777" w:rsidR="00474E30" w:rsidRPr="00C459CC" w:rsidRDefault="00B4537B" w:rsidP="003645BA">
            <w:pPr>
              <w:ind w:firstLine="318"/>
            </w:pPr>
            <w:r w:rsidRPr="00C459CC">
              <w:rPr>
                <w:b/>
                <w:bCs/>
                <w:noProof/>
              </w:rPr>
              <w:t>4.8. Alte informații</w:t>
            </w:r>
            <w:r w:rsidR="00474E30" w:rsidRPr="00C459CC">
              <w:t xml:space="preserve"> </w:t>
            </w:r>
          </w:p>
          <w:p w14:paraId="60E52018" w14:textId="5CCF55BD" w:rsidR="00A902E1" w:rsidRPr="00C459CC" w:rsidRDefault="00474E30">
            <w:pPr>
              <w:ind w:firstLine="318"/>
              <w:jc w:val="both"/>
            </w:pPr>
            <w:r w:rsidRPr="00C459CC">
              <w:t>Sumele necesare</w:t>
            </w:r>
            <w:r w:rsidR="002E1F19" w:rsidRPr="00C459CC">
              <w:t xml:space="preserve"> </w:t>
            </w:r>
            <w:r w:rsidR="00EF4ECD" w:rsidRPr="00C459CC">
              <w:t>art</w:t>
            </w:r>
            <w:r w:rsidR="002E1F19" w:rsidRPr="00C459CC">
              <w:t>. I</w:t>
            </w:r>
            <w:r w:rsidRPr="00C459CC">
              <w:t xml:space="preserve"> se suportă din bugetul Ministerului Investiţiilor şi</w:t>
            </w:r>
            <w:r w:rsidR="004369E0" w:rsidRPr="00C459CC">
              <w:t xml:space="preserve"> </w:t>
            </w:r>
            <w:r w:rsidRPr="00C459CC">
              <w:t xml:space="preserve"> Proiectelor Europene, cu încadrarea î</w:t>
            </w:r>
            <w:r w:rsidR="002B2CA4" w:rsidRPr="00C459CC">
              <w:t>n prevederile bugetare aprobate;</w:t>
            </w:r>
            <w:r w:rsidR="002E1F19" w:rsidRPr="00C459CC">
              <w:t xml:space="preserve"> </w:t>
            </w:r>
            <w:r w:rsidR="00243D26" w:rsidRPr="00C459CC">
              <w:t xml:space="preserve">Autoritatea de </w:t>
            </w:r>
            <w:r w:rsidR="00057FE6" w:rsidRPr="00C459CC">
              <w:t>M</w:t>
            </w:r>
            <w:r w:rsidR="00243D26" w:rsidRPr="00C459CC">
              <w:t xml:space="preserve">anagement pentru Programul Operațional Infrastructura Mare 2014-2020 va </w:t>
            </w:r>
            <w:r w:rsidR="00057FE6" w:rsidRPr="00C459CC">
              <w:t xml:space="preserve">autoriza cheltuielile, potrivit cadrului legal si procedural aplicabil perioadei de programare 2014-2020, după care </w:t>
            </w:r>
            <w:r w:rsidR="00243D26" w:rsidRPr="00C459CC">
              <w:t>transmite proiectele</w:t>
            </w:r>
            <w:r w:rsidR="00EF4ECD" w:rsidRPr="00C459CC">
              <w:t xml:space="preserve"> ce pot face obiectul aprobării</w:t>
            </w:r>
            <w:r w:rsidR="00243D26" w:rsidRPr="00C459CC">
              <w:t xml:space="preserve"> în cadrul PODD</w:t>
            </w:r>
            <w:r w:rsidR="00057FE6" w:rsidRPr="00C459CC">
              <w:t xml:space="preserve">, cu respectarea prevederilor </w:t>
            </w:r>
            <w:r w:rsidR="00F713F8" w:rsidRPr="00C459CC">
              <w:t xml:space="preserve">art. 73 alin. (5) din Regulamentul (UE) 1060/2021; </w:t>
            </w:r>
            <w:r w:rsidRPr="00C459CC">
              <w:t>sumele cheltuite conform</w:t>
            </w:r>
            <w:r w:rsidR="002E1F19" w:rsidRPr="00C459CC">
              <w:t xml:space="preserve"> </w:t>
            </w:r>
            <w:r w:rsidR="00DE6B95" w:rsidRPr="00C459CC">
              <w:t>art</w:t>
            </w:r>
            <w:r w:rsidR="002E1F19" w:rsidRPr="00C459CC">
              <w:t>. I al</w:t>
            </w:r>
            <w:r w:rsidRPr="00C459CC">
              <w:t xml:space="preserve"> prezentei ordonanţe de urgenţă </w:t>
            </w:r>
            <w:r w:rsidR="000C1EF4" w:rsidRPr="00C459CC">
              <w:t xml:space="preserve">vor fi </w:t>
            </w:r>
            <w:r w:rsidRPr="00C459CC">
              <w:t xml:space="preserve">rambursate </w:t>
            </w:r>
            <w:r w:rsidR="000C1EF4" w:rsidRPr="00C459CC">
              <w:t>şi</w:t>
            </w:r>
            <w:r w:rsidRPr="00C459CC">
              <w:t xml:space="preserve"> virate la bugetul de stat</w:t>
            </w:r>
            <w:r w:rsidR="00117ED7" w:rsidRPr="00C459CC">
              <w:t xml:space="preserve">, iar sumele declarate neeligibile vor face obiectul prevederilor Ordonanţei de urgenţă nr. 66/2011 privind prevenirea, constatarea şi sancţionarea neregulilor apărute în obţinerea şi utilizarea </w:t>
            </w:r>
            <w:r w:rsidR="00117ED7" w:rsidRPr="00C459CC">
              <w:lastRenderedPageBreak/>
              <w:t>fondurilor europene şi/sau a fondurilor publice naţionale aferente acestora, cu modificările şi completările ulterioare.</w:t>
            </w:r>
          </w:p>
          <w:p w14:paraId="0138DC5C" w14:textId="7313E4F0" w:rsidR="00551930" w:rsidRPr="00C459CC" w:rsidRDefault="00551930">
            <w:pPr>
              <w:ind w:firstLine="318"/>
              <w:jc w:val="both"/>
            </w:pPr>
            <w:r w:rsidRPr="00C459CC">
              <w:t>Altfel, sumele necesare punerii în aplicare a celorlalte prevederi a</w:t>
            </w:r>
            <w:r w:rsidR="00EE2811" w:rsidRPr="00C459CC">
              <w:t xml:space="preserve">le prezentei ordonanţe de urgenţă </w:t>
            </w:r>
            <w:r w:rsidR="00117ED7" w:rsidRPr="00C459CC">
              <w:t>vor fi suportate din fonduri europene nerambursabile.</w:t>
            </w:r>
          </w:p>
          <w:p w14:paraId="64B74EF4" w14:textId="0DD40D5D" w:rsidR="00DE6B95" w:rsidRPr="00C459CC" w:rsidRDefault="00DE6B95" w:rsidP="009E30F0">
            <w:pPr>
              <w:ind w:firstLine="318"/>
              <w:jc w:val="both"/>
              <w:rPr>
                <w:bCs/>
                <w:noProof/>
              </w:rPr>
            </w:pPr>
          </w:p>
        </w:tc>
      </w:tr>
      <w:tr w:rsidR="00B66071" w:rsidRPr="00C459CC" w14:paraId="1DF5A241" w14:textId="77777777" w:rsidTr="006C32FE">
        <w:tblPrEx>
          <w:jc w:val="center"/>
          <w:tblInd w:w="0" w:type="dxa"/>
        </w:tblPrEx>
        <w:trPr>
          <w:jc w:val="center"/>
        </w:trPr>
        <w:tc>
          <w:tcPr>
            <w:tcW w:w="9938" w:type="dxa"/>
            <w:gridSpan w:val="8"/>
            <w:tcBorders>
              <w:top w:val="single" w:sz="4" w:space="0" w:color="auto"/>
              <w:left w:val="single" w:sz="4" w:space="0" w:color="auto"/>
              <w:bottom w:val="single" w:sz="4" w:space="0" w:color="auto"/>
              <w:right w:val="single" w:sz="4" w:space="0" w:color="auto"/>
            </w:tcBorders>
          </w:tcPr>
          <w:p w14:paraId="60666C7F" w14:textId="77777777" w:rsidR="00034C5B" w:rsidRPr="00C459CC" w:rsidRDefault="00034C5B" w:rsidP="006C32FE">
            <w:pPr>
              <w:jc w:val="center"/>
              <w:rPr>
                <w:b/>
                <w:i/>
              </w:rPr>
            </w:pPr>
          </w:p>
          <w:p w14:paraId="3D29E337" w14:textId="77777777" w:rsidR="003948CA" w:rsidRPr="00C459CC" w:rsidRDefault="003948CA" w:rsidP="006C32FE">
            <w:pPr>
              <w:jc w:val="center"/>
              <w:rPr>
                <w:b/>
                <w:i/>
              </w:rPr>
            </w:pPr>
          </w:p>
          <w:p w14:paraId="2B0B576C" w14:textId="70CC159F" w:rsidR="00B66071" w:rsidRPr="00C459CC" w:rsidRDefault="00B66071" w:rsidP="006C32FE">
            <w:pPr>
              <w:jc w:val="center"/>
              <w:rPr>
                <w:b/>
                <w:i/>
              </w:rPr>
            </w:pPr>
            <w:r w:rsidRPr="00C459CC">
              <w:rPr>
                <w:b/>
                <w:i/>
              </w:rPr>
              <w:t>Secțiunea a 5-a</w:t>
            </w:r>
          </w:p>
          <w:p w14:paraId="14DABFE8" w14:textId="77777777" w:rsidR="00B66071" w:rsidRPr="00C459CC" w:rsidRDefault="00B66071" w:rsidP="006C32FE">
            <w:pPr>
              <w:jc w:val="center"/>
              <w:rPr>
                <w:b/>
                <w:i/>
              </w:rPr>
            </w:pPr>
            <w:r w:rsidRPr="00C459CC">
              <w:rPr>
                <w:b/>
                <w:i/>
              </w:rPr>
              <w:t>Efectele act</w:t>
            </w:r>
            <w:r w:rsidR="00CD242A" w:rsidRPr="00C459CC">
              <w:rPr>
                <w:b/>
                <w:i/>
              </w:rPr>
              <w:t>ului</w:t>
            </w:r>
            <w:r w:rsidRPr="00C459CC">
              <w:rPr>
                <w:b/>
                <w:i/>
              </w:rPr>
              <w:t xml:space="preserve"> normativ asupra legislaţiei în vigoare</w:t>
            </w:r>
          </w:p>
          <w:p w14:paraId="564B3323" w14:textId="545D282A" w:rsidR="00034C5B" w:rsidRPr="00C459CC" w:rsidRDefault="00034C5B" w:rsidP="006C32FE">
            <w:pPr>
              <w:jc w:val="center"/>
              <w:rPr>
                <w:b/>
                <w:i/>
              </w:rPr>
            </w:pPr>
          </w:p>
        </w:tc>
      </w:tr>
      <w:tr w:rsidR="00973701" w:rsidRPr="00C459CC" w14:paraId="327176B4" w14:textId="77777777" w:rsidTr="006C32FE">
        <w:trPr>
          <w:gridAfter w:val="1"/>
          <w:wAfter w:w="20" w:type="dxa"/>
          <w:trHeight w:val="561"/>
        </w:trPr>
        <w:tc>
          <w:tcPr>
            <w:tcW w:w="9918" w:type="dxa"/>
            <w:gridSpan w:val="7"/>
          </w:tcPr>
          <w:p w14:paraId="4F9076D7" w14:textId="3CD9402F" w:rsidR="00973701" w:rsidRPr="00C459CC" w:rsidRDefault="00973701" w:rsidP="00B66071">
            <w:pPr>
              <w:jc w:val="both"/>
              <w:rPr>
                <w:b/>
                <w:bCs/>
              </w:rPr>
            </w:pPr>
            <w:r w:rsidRPr="00C459CC">
              <w:rPr>
                <w:b/>
                <w:bCs/>
              </w:rPr>
              <w:t>5.1. Măsuri normative necesare pentru aplicarea prevederilor act</w:t>
            </w:r>
            <w:r w:rsidR="00CD242A" w:rsidRPr="00C459CC">
              <w:rPr>
                <w:b/>
                <w:bCs/>
              </w:rPr>
              <w:t>ului</w:t>
            </w:r>
            <w:r w:rsidRPr="00C459CC">
              <w:rPr>
                <w:b/>
                <w:bCs/>
              </w:rPr>
              <w:t xml:space="preserve"> normativ</w:t>
            </w:r>
          </w:p>
          <w:p w14:paraId="78CB7914" w14:textId="3D507A5A" w:rsidR="001F37F9" w:rsidRPr="00C459CC" w:rsidRDefault="00CD242A" w:rsidP="00B66071">
            <w:pPr>
              <w:jc w:val="both"/>
              <w:rPr>
                <w:b/>
                <w:bCs/>
              </w:rPr>
            </w:pPr>
            <w:r w:rsidRPr="00C459CC">
              <w:t xml:space="preserve">Prezentul </w:t>
            </w:r>
            <w:r w:rsidR="001F37F9" w:rsidRPr="00C459CC">
              <w:t>act normativ nu se referă la acest subiect.</w:t>
            </w:r>
          </w:p>
          <w:p w14:paraId="79B335E6" w14:textId="7C87FE32" w:rsidR="00973701" w:rsidRPr="00C459CC" w:rsidRDefault="00973701" w:rsidP="00B66071">
            <w:pPr>
              <w:tabs>
                <w:tab w:val="left" w:pos="201"/>
              </w:tabs>
              <w:jc w:val="both"/>
              <w:rPr>
                <w:b/>
                <w:bCs/>
              </w:rPr>
            </w:pPr>
            <w:r w:rsidRPr="00C459CC">
              <w:rPr>
                <w:b/>
                <w:bCs/>
              </w:rPr>
              <w:t>5.2. Impactul asupra legislației în domeniul achizițiilor publice</w:t>
            </w:r>
          </w:p>
          <w:p w14:paraId="58F52DF9" w14:textId="50C68695" w:rsidR="001F37F9" w:rsidRPr="00C459CC" w:rsidRDefault="00CD242A" w:rsidP="00B66071">
            <w:pPr>
              <w:jc w:val="both"/>
              <w:rPr>
                <w:b/>
                <w:bCs/>
              </w:rPr>
            </w:pPr>
            <w:r w:rsidRPr="00C459CC">
              <w:t xml:space="preserve">Prezentul </w:t>
            </w:r>
            <w:r w:rsidR="001F37F9" w:rsidRPr="00C459CC">
              <w:t>act normativ nu se referă la acest subiect.</w:t>
            </w:r>
          </w:p>
          <w:p w14:paraId="3CE6B9A6" w14:textId="2948EA2D" w:rsidR="00973701" w:rsidRPr="00C459CC" w:rsidRDefault="00973701" w:rsidP="00B66071">
            <w:pPr>
              <w:tabs>
                <w:tab w:val="left" w:pos="201"/>
              </w:tabs>
              <w:jc w:val="both"/>
              <w:rPr>
                <w:b/>
                <w:bCs/>
              </w:rPr>
            </w:pPr>
            <w:r w:rsidRPr="00C459CC">
              <w:rPr>
                <w:b/>
                <w:bCs/>
              </w:rPr>
              <w:t>5.3. Conformitatea  act</w:t>
            </w:r>
            <w:r w:rsidR="00CD242A" w:rsidRPr="00C459CC">
              <w:rPr>
                <w:b/>
                <w:bCs/>
              </w:rPr>
              <w:t>ului</w:t>
            </w:r>
            <w:r w:rsidRPr="00C459CC">
              <w:rPr>
                <w:b/>
                <w:bCs/>
              </w:rPr>
              <w:t xml:space="preserve"> normativ cu legislaţia UE (în cazul proiectelor ce transpun sau asigură aplicarea unor prevederi de drept UE)</w:t>
            </w:r>
          </w:p>
          <w:p w14:paraId="09158D06" w14:textId="7EEBFF96" w:rsidR="00973701" w:rsidRPr="00C459CC" w:rsidRDefault="00973701" w:rsidP="00B66071">
            <w:pPr>
              <w:tabs>
                <w:tab w:val="left" w:pos="201"/>
              </w:tabs>
              <w:jc w:val="both"/>
              <w:rPr>
                <w:b/>
                <w:bCs/>
              </w:rPr>
            </w:pPr>
            <w:r w:rsidRPr="00C459CC">
              <w:rPr>
                <w:b/>
                <w:bCs/>
              </w:rPr>
              <w:t>5.3.1. Măsuri normative necesare transpunerii directivelor UE</w:t>
            </w:r>
          </w:p>
          <w:p w14:paraId="3E810491" w14:textId="6C271282" w:rsidR="001F37F9" w:rsidRPr="00C459CC" w:rsidRDefault="00CD242A" w:rsidP="00B66071">
            <w:pPr>
              <w:jc w:val="both"/>
              <w:rPr>
                <w:b/>
                <w:bCs/>
              </w:rPr>
            </w:pPr>
            <w:r w:rsidRPr="00C459CC">
              <w:t xml:space="preserve">Prezentul </w:t>
            </w:r>
            <w:r w:rsidR="001F37F9" w:rsidRPr="00C459CC">
              <w:t>act normativ nu se referă la acest subiect.</w:t>
            </w:r>
          </w:p>
          <w:p w14:paraId="4087DBF1" w14:textId="30300D75" w:rsidR="00973701" w:rsidRPr="00C459CC" w:rsidRDefault="00674D58" w:rsidP="00B66071">
            <w:pPr>
              <w:tabs>
                <w:tab w:val="left" w:pos="201"/>
              </w:tabs>
              <w:jc w:val="both"/>
              <w:rPr>
                <w:b/>
                <w:bCs/>
              </w:rPr>
            </w:pPr>
            <w:r w:rsidRPr="00C459CC">
              <w:rPr>
                <w:b/>
                <w:bCs/>
              </w:rPr>
              <w:t>5.3.2. Măsuri normative necesare aplicării actelor legislative UE</w:t>
            </w:r>
          </w:p>
          <w:p w14:paraId="73D33CD2" w14:textId="31FDEC54" w:rsidR="001F37F9" w:rsidRPr="00C459CC" w:rsidRDefault="00CD242A" w:rsidP="00B66071">
            <w:pPr>
              <w:jc w:val="both"/>
              <w:rPr>
                <w:b/>
                <w:bCs/>
              </w:rPr>
            </w:pPr>
            <w:r w:rsidRPr="00C459CC">
              <w:t xml:space="preserve">Prezentul </w:t>
            </w:r>
            <w:r w:rsidR="001F37F9" w:rsidRPr="00C459CC">
              <w:t>act normativ nu se referă la acest subiect.</w:t>
            </w:r>
          </w:p>
          <w:p w14:paraId="1F159347" w14:textId="0C28830E" w:rsidR="00CD242A" w:rsidRPr="00C459CC" w:rsidRDefault="00674D58" w:rsidP="00B66071">
            <w:pPr>
              <w:jc w:val="both"/>
              <w:rPr>
                <w:b/>
                <w:bCs/>
              </w:rPr>
            </w:pPr>
            <w:r w:rsidRPr="00C459CC">
              <w:rPr>
                <w:b/>
                <w:bCs/>
              </w:rPr>
              <w:t>5.4. Hotărâri ale Curţii de Justiţie a Uniunii Europene</w:t>
            </w:r>
            <w:r w:rsidR="002623AD" w:rsidRPr="00C459CC">
              <w:rPr>
                <w:b/>
                <w:bCs/>
              </w:rPr>
              <w:t xml:space="preserve"> </w:t>
            </w:r>
            <w:r w:rsidR="00CD242A" w:rsidRPr="00C459CC">
              <w:rPr>
                <w:b/>
                <w:bCs/>
              </w:rPr>
              <w:t>–</w:t>
            </w:r>
          </w:p>
          <w:p w14:paraId="1EE1AEFA" w14:textId="5E99C551" w:rsidR="001F37F9" w:rsidRPr="00C459CC" w:rsidRDefault="002623AD" w:rsidP="00B66071">
            <w:pPr>
              <w:jc w:val="both"/>
              <w:rPr>
                <w:b/>
                <w:bCs/>
              </w:rPr>
            </w:pPr>
            <w:r w:rsidRPr="00C459CC">
              <w:rPr>
                <w:b/>
                <w:bCs/>
              </w:rPr>
              <w:t xml:space="preserve"> </w:t>
            </w:r>
            <w:r w:rsidR="00CD242A" w:rsidRPr="00C459CC">
              <w:t xml:space="preserve">Prezentul </w:t>
            </w:r>
            <w:r w:rsidR="001F37F9" w:rsidRPr="00C459CC">
              <w:t>act normativ nu se referă la acest subiect.</w:t>
            </w:r>
          </w:p>
          <w:p w14:paraId="5468D61D" w14:textId="7F757795" w:rsidR="00674D58" w:rsidRPr="00C459CC" w:rsidRDefault="00674D58" w:rsidP="00B66071">
            <w:pPr>
              <w:tabs>
                <w:tab w:val="left" w:pos="201"/>
              </w:tabs>
              <w:jc w:val="both"/>
              <w:rPr>
                <w:b/>
                <w:bCs/>
              </w:rPr>
            </w:pPr>
            <w:r w:rsidRPr="00C459CC">
              <w:rPr>
                <w:b/>
                <w:bCs/>
              </w:rPr>
              <w:t>5.5. Alte acte normative şi/sau documente internaţionale din care decurg angajamente asumate</w:t>
            </w:r>
            <w:r w:rsidR="002623AD" w:rsidRPr="00C459CC">
              <w:rPr>
                <w:b/>
                <w:bCs/>
              </w:rPr>
              <w:t xml:space="preserve"> </w:t>
            </w:r>
          </w:p>
          <w:p w14:paraId="58799D57" w14:textId="098E448A" w:rsidR="001F37F9" w:rsidRPr="00C459CC" w:rsidRDefault="00CD242A" w:rsidP="00B66071">
            <w:pPr>
              <w:jc w:val="both"/>
              <w:rPr>
                <w:b/>
                <w:bCs/>
              </w:rPr>
            </w:pPr>
            <w:r w:rsidRPr="00C459CC">
              <w:t xml:space="preserve">Prezentul </w:t>
            </w:r>
            <w:r w:rsidR="001F37F9" w:rsidRPr="00C459CC">
              <w:t>act normativ nu se referă la acest subiect.</w:t>
            </w:r>
          </w:p>
          <w:p w14:paraId="347D5D53" w14:textId="77777777" w:rsidR="00973701" w:rsidRPr="00C459CC" w:rsidRDefault="00674D58" w:rsidP="00B66071">
            <w:pPr>
              <w:tabs>
                <w:tab w:val="left" w:pos="201"/>
              </w:tabs>
              <w:jc w:val="both"/>
            </w:pPr>
            <w:r w:rsidRPr="00C459CC">
              <w:rPr>
                <w:b/>
                <w:bCs/>
              </w:rPr>
              <w:t>5.6. Alte informații</w:t>
            </w:r>
            <w:r w:rsidR="00393E05" w:rsidRPr="00C459CC">
              <w:rPr>
                <w:b/>
                <w:bCs/>
              </w:rPr>
              <w:t xml:space="preserve">- </w:t>
            </w:r>
            <w:r w:rsidR="00B73EBD" w:rsidRPr="00C459CC">
              <w:t>Nu au fost identificate</w:t>
            </w:r>
          </w:p>
          <w:p w14:paraId="7C430706" w14:textId="174768C2" w:rsidR="00B66071" w:rsidRPr="00C459CC" w:rsidRDefault="00B66071" w:rsidP="00B66071">
            <w:pPr>
              <w:tabs>
                <w:tab w:val="left" w:pos="201"/>
              </w:tabs>
              <w:jc w:val="both"/>
            </w:pPr>
          </w:p>
        </w:tc>
      </w:tr>
      <w:tr w:rsidR="00B66071" w:rsidRPr="00C459CC" w14:paraId="7B908BFF" w14:textId="77777777" w:rsidTr="006C32FE">
        <w:tblPrEx>
          <w:jc w:val="center"/>
          <w:tblInd w:w="0" w:type="dxa"/>
        </w:tblPrEx>
        <w:trPr>
          <w:jc w:val="center"/>
        </w:trPr>
        <w:tc>
          <w:tcPr>
            <w:tcW w:w="9938" w:type="dxa"/>
            <w:gridSpan w:val="8"/>
            <w:tcBorders>
              <w:top w:val="single" w:sz="4" w:space="0" w:color="auto"/>
              <w:left w:val="single" w:sz="4" w:space="0" w:color="auto"/>
              <w:bottom w:val="single" w:sz="4" w:space="0" w:color="auto"/>
              <w:right w:val="single" w:sz="4" w:space="0" w:color="auto"/>
            </w:tcBorders>
          </w:tcPr>
          <w:p w14:paraId="6902BD0F" w14:textId="77777777" w:rsidR="00034C5B" w:rsidRPr="00C459CC" w:rsidRDefault="00034C5B" w:rsidP="00B66071">
            <w:pPr>
              <w:jc w:val="center"/>
              <w:rPr>
                <w:b/>
                <w:i/>
              </w:rPr>
            </w:pPr>
          </w:p>
          <w:p w14:paraId="0AFE9A49" w14:textId="77777777" w:rsidR="003948CA" w:rsidRPr="00C459CC" w:rsidRDefault="003948CA" w:rsidP="00B66071">
            <w:pPr>
              <w:jc w:val="center"/>
              <w:rPr>
                <w:b/>
                <w:i/>
              </w:rPr>
            </w:pPr>
          </w:p>
          <w:p w14:paraId="3834818C" w14:textId="2700E94C" w:rsidR="00B66071" w:rsidRPr="00C459CC" w:rsidRDefault="00B66071" w:rsidP="00B66071">
            <w:pPr>
              <w:jc w:val="center"/>
              <w:rPr>
                <w:b/>
                <w:i/>
              </w:rPr>
            </w:pPr>
            <w:r w:rsidRPr="00C459CC">
              <w:rPr>
                <w:b/>
                <w:i/>
              </w:rPr>
              <w:t>Secțiunea a 6-a</w:t>
            </w:r>
          </w:p>
          <w:p w14:paraId="55DD0FFD" w14:textId="2D196FCC" w:rsidR="00B66071" w:rsidRPr="00C459CC" w:rsidRDefault="00B66071" w:rsidP="00B66071">
            <w:pPr>
              <w:jc w:val="center"/>
              <w:rPr>
                <w:b/>
                <w:i/>
              </w:rPr>
            </w:pPr>
            <w:r w:rsidRPr="00C459CC">
              <w:rPr>
                <w:b/>
                <w:i/>
              </w:rPr>
              <w:t>Consultările efectuate în vederea elaborării act</w:t>
            </w:r>
            <w:r w:rsidR="00CD242A" w:rsidRPr="00C459CC">
              <w:rPr>
                <w:b/>
                <w:i/>
              </w:rPr>
              <w:t>ului</w:t>
            </w:r>
            <w:r w:rsidRPr="00C459CC">
              <w:rPr>
                <w:b/>
                <w:i/>
              </w:rPr>
              <w:t xml:space="preserve"> normativ</w:t>
            </w:r>
          </w:p>
          <w:p w14:paraId="20F53F77" w14:textId="6C1E206E" w:rsidR="00B66071" w:rsidRPr="00C459CC" w:rsidRDefault="00B66071" w:rsidP="00B66071">
            <w:pPr>
              <w:jc w:val="center"/>
              <w:rPr>
                <w:b/>
                <w:i/>
              </w:rPr>
            </w:pPr>
          </w:p>
        </w:tc>
      </w:tr>
      <w:tr w:rsidR="00770E01" w:rsidRPr="00C459CC" w14:paraId="5EB7CDBC" w14:textId="77777777" w:rsidTr="006C32FE">
        <w:trPr>
          <w:gridAfter w:val="1"/>
          <w:wAfter w:w="20" w:type="dxa"/>
        </w:trPr>
        <w:tc>
          <w:tcPr>
            <w:tcW w:w="9918" w:type="dxa"/>
            <w:gridSpan w:val="7"/>
          </w:tcPr>
          <w:p w14:paraId="598B642C" w14:textId="50A84CE9" w:rsidR="00770E01" w:rsidRPr="00C459CC" w:rsidRDefault="00770E01" w:rsidP="00B66071">
            <w:pPr>
              <w:jc w:val="both"/>
              <w:rPr>
                <w:b/>
                <w:bCs/>
              </w:rPr>
            </w:pPr>
            <w:r w:rsidRPr="00C459CC">
              <w:rPr>
                <w:b/>
                <w:bCs/>
              </w:rPr>
              <w:t>6.1. Informații privind neaplicarea procedurii de participare la elaborarea actelor normative</w:t>
            </w:r>
          </w:p>
          <w:p w14:paraId="3A93CCCC" w14:textId="2EC6A1E1" w:rsidR="001F37F9" w:rsidRPr="00C459CC" w:rsidRDefault="00CD242A" w:rsidP="00B66071">
            <w:pPr>
              <w:jc w:val="both"/>
            </w:pPr>
            <w:r w:rsidRPr="00C459CC">
              <w:t xml:space="preserve">Prezentul </w:t>
            </w:r>
            <w:r w:rsidR="001F37F9" w:rsidRPr="00C459CC">
              <w:t>act normativ nu se referă la acest subiect.</w:t>
            </w:r>
          </w:p>
          <w:p w14:paraId="0B61431A" w14:textId="044D21FE" w:rsidR="00770E01" w:rsidRPr="00C459CC" w:rsidRDefault="00770E01" w:rsidP="00B66071">
            <w:pPr>
              <w:jc w:val="both"/>
              <w:rPr>
                <w:b/>
                <w:bCs/>
              </w:rPr>
            </w:pPr>
            <w:r w:rsidRPr="00C459CC">
              <w:rPr>
                <w:b/>
                <w:bCs/>
              </w:rPr>
              <w:t>6.2. Informaţii privind procesul de consultare cu organizaţii neguvernamentale, institute de cercetare şi alte organisme implicate</w:t>
            </w:r>
          </w:p>
          <w:p w14:paraId="160FB600" w14:textId="592C7C1E" w:rsidR="001F37F9" w:rsidRPr="00C459CC" w:rsidRDefault="00CD242A" w:rsidP="00B66071">
            <w:pPr>
              <w:jc w:val="both"/>
            </w:pPr>
            <w:r w:rsidRPr="00C459CC">
              <w:t xml:space="preserve">Prezentul </w:t>
            </w:r>
            <w:r w:rsidR="001F37F9" w:rsidRPr="00C459CC">
              <w:t>act normativ nu se referă la acest subiect.</w:t>
            </w:r>
          </w:p>
          <w:p w14:paraId="2BABECC5" w14:textId="5AB3CE08" w:rsidR="00926ABC" w:rsidRPr="00C459CC" w:rsidRDefault="00770E01" w:rsidP="00B66071">
            <w:pPr>
              <w:jc w:val="both"/>
              <w:rPr>
                <w:b/>
                <w:bCs/>
              </w:rPr>
            </w:pPr>
            <w:r w:rsidRPr="00C459CC">
              <w:rPr>
                <w:b/>
                <w:bCs/>
              </w:rPr>
              <w:t>6.3. Informații despre consultările organizate cu autoritățile administrației publice locale</w:t>
            </w:r>
          </w:p>
          <w:p w14:paraId="3D63CDAA" w14:textId="1BF7A660" w:rsidR="002138A0" w:rsidRPr="00C459CC" w:rsidRDefault="002138A0" w:rsidP="002138A0">
            <w:pPr>
              <w:jc w:val="both"/>
            </w:pPr>
            <w:r w:rsidRPr="00C459CC">
              <w:t>A fost realizată procedura de consultare în conformitate cu prevederile Ordonanței de urgență a Guvernului nr. 57/2019 privind Codul administrativ, cu completările ulterioare, precum și ale Hotărârii Guvernului nr. 635/2022 privind procedura de consultare a structurilor asociative ale autorităţilor administraţiei publice locale la elaborarea proiectelor de acte normative.Proiectul de act normativ a fost transmis pentru consultare structurilor asociative ale autorităților administrației publice locale, solicitându-se  punct de vedere de la Asociația Comunelor din România, Asociația Municipiilor din România, Asociația Orașelor din România, respectiv de la Uniunea Națională a Consiliilor Județene din România.</w:t>
            </w:r>
          </w:p>
          <w:p w14:paraId="75B52955" w14:textId="77777777" w:rsidR="002138A0" w:rsidRPr="00C459CC" w:rsidRDefault="002138A0" w:rsidP="00B66071">
            <w:pPr>
              <w:jc w:val="both"/>
            </w:pPr>
          </w:p>
          <w:p w14:paraId="53F02791" w14:textId="383D0698" w:rsidR="00770E01" w:rsidRPr="00C459CC" w:rsidRDefault="00770E01" w:rsidP="00B66071">
            <w:pPr>
              <w:jc w:val="both"/>
              <w:rPr>
                <w:b/>
                <w:bCs/>
              </w:rPr>
            </w:pPr>
            <w:r w:rsidRPr="00C459CC">
              <w:rPr>
                <w:b/>
                <w:bCs/>
              </w:rPr>
              <w:t>6.4. Informații privind puncte de vedere/opinii emise de organisme consulative constituite prin acte normative</w:t>
            </w:r>
          </w:p>
          <w:p w14:paraId="0DE0AE79" w14:textId="49D6BE78" w:rsidR="001F37F9" w:rsidRPr="00C459CC" w:rsidRDefault="00CD242A" w:rsidP="00B66071">
            <w:pPr>
              <w:jc w:val="both"/>
            </w:pPr>
            <w:r w:rsidRPr="00C459CC">
              <w:t xml:space="preserve">Prezentul </w:t>
            </w:r>
            <w:r w:rsidR="001F37F9" w:rsidRPr="00C459CC">
              <w:t>act normativ nu se referă la acest subiect.</w:t>
            </w:r>
          </w:p>
          <w:p w14:paraId="0FF572CC" w14:textId="3F3A66CE" w:rsidR="00770E01" w:rsidRPr="00C459CC" w:rsidRDefault="00770E01" w:rsidP="00B66071">
            <w:pPr>
              <w:jc w:val="both"/>
              <w:rPr>
                <w:b/>
                <w:bCs/>
              </w:rPr>
            </w:pPr>
            <w:r w:rsidRPr="00C459CC">
              <w:rPr>
                <w:b/>
                <w:bCs/>
              </w:rPr>
              <w:t>6.5</w:t>
            </w:r>
            <w:r w:rsidR="004555DD" w:rsidRPr="00C459CC">
              <w:rPr>
                <w:b/>
                <w:bCs/>
              </w:rPr>
              <w:t>.</w:t>
            </w:r>
            <w:r w:rsidRPr="00C459CC">
              <w:rPr>
                <w:b/>
                <w:bCs/>
              </w:rPr>
              <w:t xml:space="preserve"> Informații privind avizarea de către:</w:t>
            </w:r>
          </w:p>
          <w:p w14:paraId="3A2F38B9" w14:textId="62A21CA6" w:rsidR="003645BA" w:rsidRPr="00C459CC" w:rsidRDefault="00770E01" w:rsidP="00B66071">
            <w:pPr>
              <w:jc w:val="both"/>
            </w:pPr>
            <w:r w:rsidRPr="00C459CC">
              <w:t xml:space="preserve">a) Consiliul </w:t>
            </w:r>
            <w:r w:rsidR="008F6907" w:rsidRPr="00C459CC">
              <w:t>L</w:t>
            </w:r>
            <w:r w:rsidRPr="00C459CC">
              <w:t>egislativ</w:t>
            </w:r>
            <w:r w:rsidR="00B73EBD" w:rsidRPr="00C459CC">
              <w:t xml:space="preserve">- </w:t>
            </w:r>
            <w:r w:rsidR="00344487" w:rsidRPr="00C459CC">
              <w:t>p</w:t>
            </w:r>
            <w:r w:rsidR="003645BA" w:rsidRPr="00C459CC">
              <w:t xml:space="preserve">roiectul de act normativ </w:t>
            </w:r>
            <w:r w:rsidR="00344487" w:rsidRPr="00C459CC">
              <w:t>este supus</w:t>
            </w:r>
            <w:r w:rsidR="003645BA" w:rsidRPr="00C459CC">
              <w:t xml:space="preserve"> aviz</w:t>
            </w:r>
            <w:r w:rsidR="00344487" w:rsidRPr="00C459CC">
              <w:t>ării</w:t>
            </w:r>
            <w:r w:rsidR="003645BA" w:rsidRPr="00C459CC">
              <w:t xml:space="preserve"> Consiliul</w:t>
            </w:r>
            <w:r w:rsidR="00344487" w:rsidRPr="00C459CC">
              <w:t>ui</w:t>
            </w:r>
            <w:r w:rsidR="003645BA" w:rsidRPr="00C459CC">
              <w:t xml:space="preserve"> Legislativ </w:t>
            </w:r>
          </w:p>
          <w:p w14:paraId="5FE65553" w14:textId="409FEA26" w:rsidR="00770E01" w:rsidRPr="00C459CC" w:rsidRDefault="00770E01" w:rsidP="00B66071">
            <w:pPr>
              <w:jc w:val="both"/>
            </w:pPr>
            <w:r w:rsidRPr="00C459CC">
              <w:t>b)</w:t>
            </w:r>
            <w:r w:rsidR="00456611" w:rsidRPr="00C459CC">
              <w:t xml:space="preserve"> </w:t>
            </w:r>
            <w:r w:rsidRPr="00C459CC">
              <w:t>Consiliul Suprem de Apărare a Ţării</w:t>
            </w:r>
            <w:r w:rsidR="00B73EBD" w:rsidRPr="00C459CC">
              <w:t xml:space="preserve"> </w:t>
            </w:r>
          </w:p>
          <w:p w14:paraId="22642D64" w14:textId="00ED3153" w:rsidR="00770E01" w:rsidRPr="00C459CC" w:rsidRDefault="00770E01" w:rsidP="00B66071">
            <w:pPr>
              <w:jc w:val="both"/>
            </w:pPr>
            <w:r w:rsidRPr="00C459CC">
              <w:lastRenderedPageBreak/>
              <w:t>c)</w:t>
            </w:r>
            <w:r w:rsidR="00456611" w:rsidRPr="00C459CC">
              <w:t xml:space="preserve"> </w:t>
            </w:r>
            <w:r w:rsidRPr="00C459CC">
              <w:t>Consiliul Economic şi Social</w:t>
            </w:r>
          </w:p>
          <w:p w14:paraId="782E1FCE" w14:textId="2239B412" w:rsidR="00770E01" w:rsidRPr="00C459CC" w:rsidRDefault="00770E01" w:rsidP="00B66071">
            <w:pPr>
              <w:jc w:val="both"/>
            </w:pPr>
            <w:r w:rsidRPr="00C459CC">
              <w:t>d)</w:t>
            </w:r>
            <w:r w:rsidR="00456611" w:rsidRPr="00C459CC">
              <w:t xml:space="preserve"> </w:t>
            </w:r>
            <w:r w:rsidRPr="00C459CC">
              <w:t>Consiliul Concurenţei</w:t>
            </w:r>
            <w:r w:rsidR="0068253C" w:rsidRPr="00C459CC">
              <w:t xml:space="preserve"> – </w:t>
            </w:r>
          </w:p>
          <w:p w14:paraId="2DDCFB07" w14:textId="1ABDDE66" w:rsidR="00615991" w:rsidRPr="00C459CC" w:rsidRDefault="00770E01" w:rsidP="00B66071">
            <w:pPr>
              <w:jc w:val="both"/>
            </w:pPr>
            <w:r w:rsidRPr="00C459CC">
              <w:t>e)</w:t>
            </w:r>
            <w:r w:rsidR="00456611" w:rsidRPr="00C459CC">
              <w:t xml:space="preserve"> </w:t>
            </w:r>
            <w:r w:rsidRPr="00C459CC">
              <w:t>Curtea de Conturi</w:t>
            </w:r>
            <w:r w:rsidR="003645BA" w:rsidRPr="00C459CC">
              <w:t xml:space="preserve"> </w:t>
            </w:r>
            <w:r w:rsidR="00344487" w:rsidRPr="00C459CC">
              <w:t>–</w:t>
            </w:r>
            <w:r w:rsidR="003645BA" w:rsidRPr="00C459CC">
              <w:t xml:space="preserve"> </w:t>
            </w:r>
            <w:r w:rsidR="00344487" w:rsidRPr="00C459CC">
              <w:t>s</w:t>
            </w:r>
          </w:p>
          <w:p w14:paraId="0D6F4F87" w14:textId="7AF970DB" w:rsidR="00770E01" w:rsidRPr="00C459CC" w:rsidRDefault="00770E01" w:rsidP="00B66071">
            <w:pPr>
              <w:jc w:val="both"/>
            </w:pPr>
            <w:r w:rsidRPr="00C459CC">
              <w:rPr>
                <w:b/>
                <w:bCs/>
              </w:rPr>
              <w:t>6.6. Alte informații</w:t>
            </w:r>
            <w:r w:rsidR="00B73EBD" w:rsidRPr="00C459CC">
              <w:rPr>
                <w:b/>
                <w:bCs/>
              </w:rPr>
              <w:t xml:space="preserve"> - </w:t>
            </w:r>
          </w:p>
          <w:p w14:paraId="32E03757" w14:textId="7EF2B7DE" w:rsidR="00A87BEC" w:rsidRPr="00C459CC" w:rsidRDefault="002138A0" w:rsidP="00243D26">
            <w:pPr>
              <w:jc w:val="both"/>
              <w:rPr>
                <w:b/>
                <w:bCs/>
              </w:rPr>
            </w:pPr>
            <w:r w:rsidRPr="00C459CC">
              <w:t>S-a solicitat punctul de vedere de la Curtea de Conturi, Autoritatea de Audit din cadrul Curții de Conturi a României, Consiliul Concurenței, Departamentul pentru Lupta Antifraudă, Ministerul Afacerilor Externe, Institutul Național de Statistică, Comisia Națională de Strategie și Prognoză .</w:t>
            </w:r>
          </w:p>
        </w:tc>
      </w:tr>
      <w:tr w:rsidR="00B66071" w:rsidRPr="00C459CC" w14:paraId="253EE883" w14:textId="77777777" w:rsidTr="006C32FE">
        <w:trPr>
          <w:gridAfter w:val="1"/>
          <w:wAfter w:w="20" w:type="dxa"/>
        </w:trPr>
        <w:tc>
          <w:tcPr>
            <w:tcW w:w="9918" w:type="dxa"/>
            <w:gridSpan w:val="7"/>
            <w:tcBorders>
              <w:top w:val="single" w:sz="4" w:space="0" w:color="auto"/>
              <w:left w:val="single" w:sz="4" w:space="0" w:color="auto"/>
              <w:bottom w:val="single" w:sz="4" w:space="0" w:color="auto"/>
              <w:right w:val="single" w:sz="4" w:space="0" w:color="auto"/>
            </w:tcBorders>
          </w:tcPr>
          <w:p w14:paraId="29D3D8BA" w14:textId="77777777" w:rsidR="00034C5B" w:rsidRPr="00C459CC" w:rsidRDefault="00034C5B" w:rsidP="00B66071">
            <w:pPr>
              <w:jc w:val="center"/>
              <w:rPr>
                <w:b/>
                <w:bCs/>
                <w:i/>
              </w:rPr>
            </w:pPr>
          </w:p>
          <w:p w14:paraId="6471AC2C" w14:textId="77777777" w:rsidR="003948CA" w:rsidRPr="00C459CC" w:rsidRDefault="003948CA" w:rsidP="00B66071">
            <w:pPr>
              <w:jc w:val="center"/>
              <w:rPr>
                <w:b/>
                <w:bCs/>
                <w:i/>
              </w:rPr>
            </w:pPr>
          </w:p>
          <w:p w14:paraId="48F410B1" w14:textId="291BC7FC" w:rsidR="00B66071" w:rsidRPr="00C459CC" w:rsidRDefault="00B66071" w:rsidP="00B66071">
            <w:pPr>
              <w:jc w:val="center"/>
              <w:rPr>
                <w:b/>
                <w:bCs/>
                <w:i/>
              </w:rPr>
            </w:pPr>
            <w:r w:rsidRPr="00C459CC">
              <w:rPr>
                <w:b/>
                <w:bCs/>
                <w:i/>
              </w:rPr>
              <w:t>Secțiunea a 7-a</w:t>
            </w:r>
          </w:p>
          <w:p w14:paraId="6927A674" w14:textId="77777777" w:rsidR="00B66071" w:rsidRPr="00C459CC" w:rsidRDefault="00B66071" w:rsidP="006C32FE">
            <w:pPr>
              <w:jc w:val="center"/>
              <w:rPr>
                <w:b/>
                <w:bCs/>
                <w:i/>
              </w:rPr>
            </w:pPr>
            <w:r w:rsidRPr="00C459CC">
              <w:rPr>
                <w:b/>
                <w:bCs/>
                <w:i/>
              </w:rPr>
              <w:t xml:space="preserve">Activităţi de informare publică privind elaborarea şi implementarea </w:t>
            </w:r>
            <w:bookmarkStart w:id="0" w:name="_Hlk100229941"/>
            <w:r w:rsidRPr="00C459CC">
              <w:rPr>
                <w:b/>
                <w:bCs/>
                <w:i/>
              </w:rPr>
              <w:t>act</w:t>
            </w:r>
            <w:r w:rsidR="00CD242A" w:rsidRPr="00C459CC">
              <w:rPr>
                <w:b/>
                <w:bCs/>
                <w:i/>
              </w:rPr>
              <w:t>ului</w:t>
            </w:r>
            <w:r w:rsidRPr="00C459CC">
              <w:rPr>
                <w:b/>
                <w:bCs/>
                <w:i/>
              </w:rPr>
              <w:t xml:space="preserve"> normativ</w:t>
            </w:r>
            <w:bookmarkEnd w:id="0"/>
          </w:p>
          <w:p w14:paraId="36E5B433" w14:textId="3F2E2AAB" w:rsidR="00034C5B" w:rsidRPr="00C459CC" w:rsidRDefault="00034C5B" w:rsidP="006C32FE">
            <w:pPr>
              <w:jc w:val="center"/>
              <w:rPr>
                <w:b/>
                <w:bCs/>
                <w:i/>
              </w:rPr>
            </w:pPr>
          </w:p>
        </w:tc>
      </w:tr>
      <w:tr w:rsidR="00770E01" w:rsidRPr="00C459CC" w14:paraId="416004E3" w14:textId="77777777" w:rsidTr="006C32FE">
        <w:trPr>
          <w:gridAfter w:val="1"/>
          <w:wAfter w:w="20" w:type="dxa"/>
        </w:trPr>
        <w:tc>
          <w:tcPr>
            <w:tcW w:w="9918" w:type="dxa"/>
            <w:gridSpan w:val="7"/>
          </w:tcPr>
          <w:p w14:paraId="29554504" w14:textId="0422A3EC" w:rsidR="00770E01" w:rsidRPr="00C459CC" w:rsidRDefault="00770E01" w:rsidP="00B66071">
            <w:pPr>
              <w:jc w:val="both"/>
              <w:rPr>
                <w:b/>
                <w:bCs/>
              </w:rPr>
            </w:pPr>
            <w:r w:rsidRPr="00C459CC">
              <w:rPr>
                <w:b/>
                <w:bCs/>
              </w:rPr>
              <w:t xml:space="preserve">7.1. </w:t>
            </w:r>
            <w:r w:rsidR="0053566B" w:rsidRPr="00C459CC">
              <w:rPr>
                <w:b/>
                <w:bCs/>
              </w:rPr>
              <w:t>Informarea societăţii civile cu privire la elaborarea act</w:t>
            </w:r>
            <w:r w:rsidR="00CD242A" w:rsidRPr="00C459CC">
              <w:rPr>
                <w:b/>
                <w:bCs/>
              </w:rPr>
              <w:t>ului</w:t>
            </w:r>
            <w:r w:rsidR="0053566B" w:rsidRPr="00C459CC">
              <w:rPr>
                <w:b/>
                <w:bCs/>
              </w:rPr>
              <w:t xml:space="preserve"> normativ</w:t>
            </w:r>
          </w:p>
          <w:p w14:paraId="2C3E7067" w14:textId="697CB191" w:rsidR="003645BA" w:rsidRPr="00C459CC" w:rsidRDefault="004555DD" w:rsidP="00B66071">
            <w:pPr>
              <w:jc w:val="both"/>
            </w:pPr>
            <w:r w:rsidRPr="00C459CC">
              <w:rPr>
                <w:color w:val="FF0000"/>
              </w:rPr>
              <w:t xml:space="preserve">    </w:t>
            </w:r>
            <w:r w:rsidR="00B73EBD" w:rsidRPr="00C459CC">
              <w:t>Prezentul proiect de act normativ respe</w:t>
            </w:r>
            <w:r w:rsidR="00243D26" w:rsidRPr="00C459CC">
              <w:t xml:space="preserve">ctă prevederile art. 7 alin.(13) </w:t>
            </w:r>
            <w:r w:rsidR="00B73EBD" w:rsidRPr="00C459CC">
              <w:t xml:space="preserve">din Legea nr. 52/2003 privind transparența decizională în administrația publică, republicată, cu modificările și completările ulterioare, și a fost publicat pe pagina de internet a Ministerului Investițiilor și Proiectelor Europene la data de </w:t>
            </w:r>
            <w:r w:rsidR="007A67DD">
              <w:t>06.07.2022.</w:t>
            </w:r>
          </w:p>
          <w:p w14:paraId="45D6E956" w14:textId="762F4FAB" w:rsidR="00F713F8" w:rsidRPr="00C459CC" w:rsidRDefault="00F713F8" w:rsidP="00B66071">
            <w:pPr>
              <w:jc w:val="both"/>
            </w:pPr>
            <w:r w:rsidRPr="00C459CC">
              <w:t>Având în vedere gradul de maturitate a cel puţin 8 proiecte regionale, în valoare de 2,2 mld euro, şi imposibilitataea OR de a asigura sursa de finanţare pentru demararea proceselor de achiziţie, se impune introducerea unor măsuri temporare</w:t>
            </w:r>
            <w:r w:rsidR="00D36A23" w:rsidRPr="00C459CC">
              <w:t xml:space="preserve"> de urgenţă</w:t>
            </w:r>
            <w:r w:rsidRPr="00C459CC">
              <w:t xml:space="preserve"> în domeniul fondurilor europene care să permită iniţierea demersurilor în domeniul achiziţiilor sectoriale, până la aprobarea Programului Operaţional Dezvoltare Durabilă (PODD) </w:t>
            </w:r>
            <w:r w:rsidR="00D36A23" w:rsidRPr="00C459CC">
              <w:t>si astfel, evitarea intȃrzierilor în a asigura</w:t>
            </w:r>
            <w:r w:rsidRPr="00C459CC">
              <w:t xml:space="preserve"> conformarea cu Directiva 98/83/CE privind calitatea apei destinate consumului uman, respectiv cu Directiva 91/271/CEE privind epurarea apelor uzate</w:t>
            </w:r>
            <w:r w:rsidR="00D36A23" w:rsidRPr="00C459CC">
              <w:t>.</w:t>
            </w:r>
          </w:p>
          <w:p w14:paraId="522B8B42" w14:textId="73975BB0" w:rsidR="00F713F8" w:rsidRPr="00C459CC" w:rsidRDefault="00F713F8" w:rsidP="00B66071">
            <w:pPr>
              <w:jc w:val="both"/>
            </w:pPr>
            <w:r w:rsidRPr="00C459CC">
              <w:t>Declanșarea crizei pe piața construcțiilor care are un caracter imprevizibil și este considerată cauză care nu depinde de acțiunea părților contractuale, dar care afectează în mod semnificativ implementarea proiectelor de infrastructură, dar și a celor de furnizare echipamente, consecința fiind blocarea implementării proiectelor și afectarea serioasă a indicatorilor pentru programe operaționale/naționale finanțate din fonduri pe care România le are de îndeplinit în cadrul politicii de coeziune 2014-2020 sau alte politici europene relevante</w:t>
            </w:r>
            <w:r w:rsidR="00D36A23" w:rsidRPr="00C459CC">
              <w:t xml:space="preserve"> a determinat adoptarea, în regim de urgenţă, a Ordonanţei de urgenţă a Guvernului nr. 64/2022  privind ajustarea preţurilor şi a valorii devizelor generale în cadrul proiectelor finanţate din fonduri externe nerambursabile. Neoperarea corecţiilor în cuprinsul ordonanţei de urgenţă va conduce la n</w:t>
            </w:r>
            <w:r w:rsidRPr="00C459CC">
              <w:t>eonorarea costurilor suplimentare</w:t>
            </w:r>
            <w:r w:rsidR="00D36A23" w:rsidRPr="00C459CC">
              <w:t xml:space="preserve"> ceea ce va determina numeroase incetări de contracte de lucrări.</w:t>
            </w:r>
          </w:p>
          <w:p w14:paraId="1B83BC39" w14:textId="3A188D90" w:rsidR="003948CA" w:rsidRPr="00C459CC" w:rsidRDefault="0053566B" w:rsidP="00B66071">
            <w:pPr>
              <w:jc w:val="both"/>
              <w:rPr>
                <w:b/>
                <w:bCs/>
              </w:rPr>
            </w:pPr>
            <w:r w:rsidRPr="00C459CC">
              <w:rPr>
                <w:b/>
                <w:bCs/>
              </w:rPr>
              <w:t>7.2. Informarea societăţii civile cu privire la e</w:t>
            </w:r>
            <w:r w:rsidR="008F6907" w:rsidRPr="00C459CC">
              <w:rPr>
                <w:b/>
                <w:bCs/>
              </w:rPr>
              <w:t>v</w:t>
            </w:r>
            <w:r w:rsidRPr="00C459CC">
              <w:rPr>
                <w:b/>
                <w:bCs/>
              </w:rPr>
              <w:t>entualul impact asupra mediului în urma implementării act</w:t>
            </w:r>
            <w:r w:rsidR="00CD242A" w:rsidRPr="00C459CC">
              <w:rPr>
                <w:b/>
                <w:bCs/>
              </w:rPr>
              <w:t>ului</w:t>
            </w:r>
            <w:r w:rsidRPr="00C459CC">
              <w:rPr>
                <w:b/>
                <w:bCs/>
              </w:rPr>
              <w:t xml:space="preserve"> normativ, precum și efectele asupra sănătății și securității cetățenilor sau diversității biologice</w:t>
            </w:r>
          </w:p>
          <w:p w14:paraId="726AEF10" w14:textId="5AFB994A" w:rsidR="003645BA" w:rsidRPr="00C459CC" w:rsidRDefault="00CD242A" w:rsidP="00B66071">
            <w:pPr>
              <w:jc w:val="both"/>
            </w:pPr>
            <w:r w:rsidRPr="00C459CC">
              <w:t xml:space="preserve">Prezentul </w:t>
            </w:r>
            <w:r w:rsidR="00B73EBD" w:rsidRPr="00C459CC">
              <w:t>act normativ nu se referă la acest subiect.</w:t>
            </w:r>
          </w:p>
          <w:p w14:paraId="25C5420D" w14:textId="01348CC5" w:rsidR="003948CA" w:rsidRPr="00C459CC" w:rsidRDefault="008F6907" w:rsidP="00B66071">
            <w:pPr>
              <w:jc w:val="both"/>
              <w:rPr>
                <w:b/>
                <w:bCs/>
              </w:rPr>
            </w:pPr>
            <w:r w:rsidRPr="00C459CC">
              <w:rPr>
                <w:b/>
                <w:bCs/>
              </w:rPr>
              <w:t>7.3. Alte informații</w:t>
            </w:r>
          </w:p>
          <w:p w14:paraId="0B623C3E" w14:textId="77777777" w:rsidR="00B73EBD" w:rsidRPr="00C459CC" w:rsidRDefault="00B73EBD" w:rsidP="00B66071">
            <w:pPr>
              <w:jc w:val="both"/>
            </w:pPr>
            <w:r w:rsidRPr="00C459CC">
              <w:t>Nu au fost identificate</w:t>
            </w:r>
          </w:p>
          <w:p w14:paraId="6A2C5259" w14:textId="0D232D00" w:rsidR="003645BA" w:rsidRPr="00C459CC" w:rsidRDefault="003645BA" w:rsidP="00B66071">
            <w:pPr>
              <w:jc w:val="both"/>
              <w:rPr>
                <w:b/>
                <w:bCs/>
              </w:rPr>
            </w:pPr>
          </w:p>
        </w:tc>
      </w:tr>
      <w:tr w:rsidR="00B66071" w:rsidRPr="00C459CC" w14:paraId="4D13F7A3" w14:textId="77777777" w:rsidTr="006C32FE">
        <w:trPr>
          <w:gridAfter w:val="1"/>
          <w:wAfter w:w="20" w:type="dxa"/>
        </w:trPr>
        <w:tc>
          <w:tcPr>
            <w:tcW w:w="9918" w:type="dxa"/>
            <w:gridSpan w:val="7"/>
            <w:tcBorders>
              <w:top w:val="single" w:sz="4" w:space="0" w:color="auto"/>
              <w:left w:val="single" w:sz="4" w:space="0" w:color="auto"/>
              <w:bottom w:val="single" w:sz="4" w:space="0" w:color="auto"/>
              <w:right w:val="single" w:sz="4" w:space="0" w:color="auto"/>
            </w:tcBorders>
          </w:tcPr>
          <w:p w14:paraId="77E70306" w14:textId="77777777" w:rsidR="003948CA" w:rsidRPr="00C459CC" w:rsidRDefault="003948CA" w:rsidP="00B66071">
            <w:pPr>
              <w:jc w:val="center"/>
              <w:rPr>
                <w:b/>
                <w:bCs/>
                <w:i/>
              </w:rPr>
            </w:pPr>
          </w:p>
          <w:p w14:paraId="746C04B9" w14:textId="77777777" w:rsidR="003948CA" w:rsidRPr="00C459CC" w:rsidRDefault="003948CA" w:rsidP="00B66071">
            <w:pPr>
              <w:jc w:val="center"/>
              <w:rPr>
                <w:b/>
                <w:bCs/>
                <w:i/>
              </w:rPr>
            </w:pPr>
          </w:p>
          <w:p w14:paraId="1F100FF9" w14:textId="385A515C" w:rsidR="00B66071" w:rsidRPr="00C459CC" w:rsidRDefault="00B66071" w:rsidP="00B66071">
            <w:pPr>
              <w:jc w:val="center"/>
              <w:rPr>
                <w:b/>
                <w:bCs/>
                <w:i/>
              </w:rPr>
            </w:pPr>
            <w:r w:rsidRPr="00C459CC">
              <w:rPr>
                <w:b/>
                <w:bCs/>
                <w:i/>
              </w:rPr>
              <w:t>Secțiunea a 8-a</w:t>
            </w:r>
          </w:p>
          <w:p w14:paraId="0F5D00C0" w14:textId="3C1A6CB1" w:rsidR="00B66071" w:rsidRPr="00C459CC" w:rsidRDefault="00B66071" w:rsidP="00B66071">
            <w:pPr>
              <w:jc w:val="center"/>
              <w:rPr>
                <w:b/>
                <w:bCs/>
                <w:i/>
              </w:rPr>
            </w:pPr>
            <w:r w:rsidRPr="00C459CC">
              <w:rPr>
                <w:b/>
                <w:bCs/>
                <w:i/>
              </w:rPr>
              <w:t>Măsuri privind implementarea, monitorizarea și evaluarea act</w:t>
            </w:r>
            <w:r w:rsidR="00CD242A" w:rsidRPr="00C459CC">
              <w:rPr>
                <w:b/>
                <w:bCs/>
                <w:i/>
              </w:rPr>
              <w:t>ului</w:t>
            </w:r>
            <w:r w:rsidRPr="00C459CC">
              <w:rPr>
                <w:b/>
                <w:bCs/>
                <w:i/>
              </w:rPr>
              <w:t xml:space="preserve"> normativ</w:t>
            </w:r>
          </w:p>
          <w:p w14:paraId="5879A0A0" w14:textId="0B4A5303" w:rsidR="003948CA" w:rsidRPr="00C459CC" w:rsidRDefault="003948CA" w:rsidP="00B66071">
            <w:pPr>
              <w:jc w:val="center"/>
              <w:rPr>
                <w:b/>
                <w:bCs/>
                <w:i/>
              </w:rPr>
            </w:pPr>
          </w:p>
        </w:tc>
      </w:tr>
      <w:tr w:rsidR="0053566B" w:rsidRPr="00C459CC" w14:paraId="554BFAFC" w14:textId="77777777" w:rsidTr="006C32FE">
        <w:trPr>
          <w:gridAfter w:val="1"/>
          <w:wAfter w:w="20" w:type="dxa"/>
        </w:trPr>
        <w:tc>
          <w:tcPr>
            <w:tcW w:w="9918" w:type="dxa"/>
            <w:gridSpan w:val="7"/>
          </w:tcPr>
          <w:p w14:paraId="560280B7" w14:textId="17AD7C28" w:rsidR="0053566B" w:rsidRPr="00C459CC" w:rsidRDefault="0053566B" w:rsidP="00B66071">
            <w:pPr>
              <w:pStyle w:val="Heading1"/>
              <w:spacing w:line="240" w:lineRule="auto"/>
              <w:jc w:val="both"/>
              <w:rPr>
                <w:b/>
                <w:bCs/>
                <w:sz w:val="24"/>
              </w:rPr>
            </w:pPr>
            <w:r w:rsidRPr="00C459CC">
              <w:rPr>
                <w:b/>
                <w:bCs/>
                <w:sz w:val="24"/>
              </w:rPr>
              <w:t>8.1. Măsuri de punere în aplicare a act</w:t>
            </w:r>
            <w:r w:rsidR="00CD242A" w:rsidRPr="00C459CC">
              <w:rPr>
                <w:b/>
                <w:bCs/>
                <w:sz w:val="24"/>
              </w:rPr>
              <w:t>ului</w:t>
            </w:r>
            <w:r w:rsidRPr="00C459CC">
              <w:rPr>
                <w:b/>
                <w:bCs/>
                <w:sz w:val="24"/>
              </w:rPr>
              <w:t xml:space="preserve"> normativ</w:t>
            </w:r>
          </w:p>
          <w:p w14:paraId="0EAADE0B" w14:textId="708759FE" w:rsidR="00B73EBD" w:rsidRPr="00C459CC" w:rsidRDefault="00CD242A" w:rsidP="00B66071">
            <w:pPr>
              <w:jc w:val="both"/>
            </w:pPr>
            <w:r w:rsidRPr="00C459CC">
              <w:t xml:space="preserve">Prezentul </w:t>
            </w:r>
            <w:r w:rsidR="00B73EBD" w:rsidRPr="00C459CC">
              <w:t>act normativ nu se referă la acest subiect.</w:t>
            </w:r>
          </w:p>
          <w:p w14:paraId="44723009" w14:textId="79637CEE" w:rsidR="0053566B" w:rsidRPr="00C459CC" w:rsidRDefault="0053566B" w:rsidP="00B66071">
            <w:pPr>
              <w:rPr>
                <w:b/>
                <w:bCs/>
              </w:rPr>
            </w:pPr>
            <w:r w:rsidRPr="00C459CC">
              <w:rPr>
                <w:b/>
                <w:bCs/>
              </w:rPr>
              <w:t xml:space="preserve">8.2. Alte </w:t>
            </w:r>
            <w:r w:rsidR="00B73EBD" w:rsidRPr="00C459CC">
              <w:rPr>
                <w:b/>
                <w:bCs/>
              </w:rPr>
              <w:t>informații</w:t>
            </w:r>
          </w:p>
          <w:p w14:paraId="6DE0CE0D" w14:textId="77777777" w:rsidR="00B73EBD" w:rsidRPr="00C459CC" w:rsidRDefault="00B73EBD" w:rsidP="00B66071">
            <w:r w:rsidRPr="00C459CC">
              <w:t>Nu au fost identificate</w:t>
            </w:r>
          </w:p>
          <w:p w14:paraId="3837F202" w14:textId="758CC17C" w:rsidR="003645BA" w:rsidRPr="00C459CC" w:rsidRDefault="003645BA" w:rsidP="00B66071"/>
        </w:tc>
      </w:tr>
    </w:tbl>
    <w:p w14:paraId="086E4DCE" w14:textId="77777777" w:rsidR="00646C74" w:rsidRPr="00C459CC" w:rsidRDefault="00646C74" w:rsidP="00B66071">
      <w:pPr>
        <w:jc w:val="both"/>
      </w:pPr>
    </w:p>
    <w:p w14:paraId="4C5B490A" w14:textId="1F95FA05" w:rsidR="00CA65F6" w:rsidRPr="00C459CC" w:rsidRDefault="00916FBD" w:rsidP="00D802AE">
      <w:pPr>
        <w:jc w:val="both"/>
        <w:rPr>
          <w:bCs/>
        </w:rPr>
      </w:pPr>
      <w:r w:rsidRPr="00C459CC">
        <w:lastRenderedPageBreak/>
        <w:t xml:space="preserve">Față de cele prezentate, a fost promovată prezenta </w:t>
      </w:r>
      <w:r w:rsidR="00D802AE" w:rsidRPr="00C459CC">
        <w:rPr>
          <w:rFonts w:eastAsia="MS Mincho"/>
          <w:b/>
          <w:lang w:val="en-US"/>
        </w:rPr>
        <w:t>ORDONANȚĂ DE URGENȚĂ  privind unele măsuri pentru proiectele de infrastructură de apă şi apă uzată finanţate din fonduri europene şi pentru modificarea unor acte normative</w:t>
      </w:r>
      <w:r w:rsidR="00344487" w:rsidRPr="00C459CC">
        <w:t>, proiect care, în forma prezentată, a fost avizat de ministerele și instituțiile interesate și de Consiliul Legislativ și pe care îl supunem spre adoptare.</w:t>
      </w:r>
    </w:p>
    <w:p w14:paraId="650DD361" w14:textId="77777777" w:rsidR="00CA65F6" w:rsidRPr="00C459CC" w:rsidRDefault="00CA65F6" w:rsidP="00CA65F6">
      <w:pPr>
        <w:ind w:firstLine="567"/>
        <w:jc w:val="both"/>
      </w:pPr>
    </w:p>
    <w:p w14:paraId="210039FE" w14:textId="77777777" w:rsidR="00034C5B" w:rsidRPr="00C459CC" w:rsidRDefault="00034C5B" w:rsidP="00CA65F6">
      <w:pPr>
        <w:jc w:val="center"/>
        <w:rPr>
          <w:b/>
        </w:rPr>
      </w:pPr>
    </w:p>
    <w:p w14:paraId="5E732CC4" w14:textId="275C74F9" w:rsidR="00CA65F6" w:rsidRPr="00C459CC" w:rsidRDefault="00344487" w:rsidP="00CA65F6">
      <w:pPr>
        <w:jc w:val="center"/>
        <w:rPr>
          <w:b/>
        </w:rPr>
      </w:pPr>
      <w:r w:rsidRPr="00C459CC">
        <w:rPr>
          <w:b/>
        </w:rPr>
        <w:t>MINISTRUL INVESTIȚIILOR ȘI PROIECTELOR EUROPENE</w:t>
      </w:r>
    </w:p>
    <w:p w14:paraId="03895710" w14:textId="77777777" w:rsidR="00CA65F6" w:rsidRPr="00C459CC" w:rsidRDefault="00CA65F6" w:rsidP="00CA65F6">
      <w:pPr>
        <w:jc w:val="center"/>
        <w:rPr>
          <w:b/>
        </w:rPr>
      </w:pPr>
    </w:p>
    <w:p w14:paraId="46DDBDF4" w14:textId="78EC70ED" w:rsidR="00CA65F6" w:rsidRPr="00C459CC" w:rsidRDefault="00344487" w:rsidP="00CA65F6">
      <w:pPr>
        <w:jc w:val="center"/>
        <w:rPr>
          <w:bCs/>
          <w:color w:val="000000"/>
        </w:rPr>
      </w:pPr>
      <w:r w:rsidRPr="00C459CC">
        <w:rPr>
          <w:b/>
          <w:bCs/>
          <w:color w:val="000000"/>
        </w:rPr>
        <w:t>MARCEL-</w:t>
      </w:r>
      <w:r w:rsidR="003948CA" w:rsidRPr="00C459CC">
        <w:rPr>
          <w:b/>
          <w:bCs/>
          <w:color w:val="000000"/>
        </w:rPr>
        <w:t xml:space="preserve"> </w:t>
      </w:r>
      <w:r w:rsidRPr="00C459CC">
        <w:rPr>
          <w:b/>
          <w:bCs/>
          <w:color w:val="000000"/>
        </w:rPr>
        <w:t>IOAN BOLOȘ</w:t>
      </w:r>
    </w:p>
    <w:p w14:paraId="10E540AF" w14:textId="18EFD307" w:rsidR="00344487" w:rsidRPr="00C459CC" w:rsidRDefault="00344487" w:rsidP="002138A0">
      <w:pPr>
        <w:ind w:firstLine="720"/>
        <w:jc w:val="both"/>
        <w:rPr>
          <w:color w:val="000000"/>
        </w:rPr>
      </w:pPr>
      <w:r w:rsidRPr="00C459CC">
        <w:rPr>
          <w:color w:val="000000"/>
        </w:rPr>
        <w:t>         </w:t>
      </w:r>
    </w:p>
    <w:p w14:paraId="230A0A2E" w14:textId="77777777" w:rsidR="00034C5B" w:rsidRPr="00C459CC" w:rsidRDefault="00034C5B" w:rsidP="00344487">
      <w:pPr>
        <w:ind w:firstLine="720"/>
        <w:jc w:val="center"/>
        <w:rPr>
          <w:b/>
          <w:bCs/>
          <w:color w:val="000000"/>
          <w:u w:val="single"/>
        </w:rPr>
      </w:pPr>
    </w:p>
    <w:p w14:paraId="3C176A5E" w14:textId="20BD8E55" w:rsidR="00344487" w:rsidRPr="00C459CC" w:rsidRDefault="00344487" w:rsidP="00344487">
      <w:pPr>
        <w:ind w:firstLine="720"/>
        <w:jc w:val="center"/>
        <w:rPr>
          <w:b/>
          <w:bCs/>
          <w:color w:val="000000"/>
          <w:u w:val="single"/>
        </w:rPr>
      </w:pPr>
      <w:r w:rsidRPr="00C459CC">
        <w:rPr>
          <w:b/>
          <w:bCs/>
          <w:color w:val="000000"/>
          <w:u w:val="single"/>
        </w:rPr>
        <w:t>AVIZAT:</w:t>
      </w:r>
    </w:p>
    <w:p w14:paraId="7CADB219" w14:textId="77777777" w:rsidR="00E56AE6" w:rsidRPr="00C459CC" w:rsidRDefault="00E56AE6" w:rsidP="00B926A1">
      <w:pPr>
        <w:ind w:firstLine="720"/>
        <w:jc w:val="center"/>
        <w:rPr>
          <w:b/>
          <w:bCs/>
          <w:color w:val="0000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56AE6" w:rsidRPr="00C459CC" w14:paraId="4BE38DF6" w14:textId="77777777" w:rsidTr="002138A0">
        <w:tc>
          <w:tcPr>
            <w:tcW w:w="4814" w:type="dxa"/>
          </w:tcPr>
          <w:p w14:paraId="3C50D1BF" w14:textId="77777777" w:rsidR="00034C5B" w:rsidRPr="00C459CC" w:rsidRDefault="00034C5B" w:rsidP="00E56AE6">
            <w:pPr>
              <w:jc w:val="center"/>
              <w:rPr>
                <w:b/>
                <w:color w:val="000000"/>
              </w:rPr>
            </w:pPr>
          </w:p>
          <w:p w14:paraId="26D4EF9F" w14:textId="460E5926" w:rsidR="00E56AE6" w:rsidRPr="00C459CC" w:rsidRDefault="00CA564F" w:rsidP="00E56AE6">
            <w:pPr>
              <w:jc w:val="center"/>
              <w:rPr>
                <w:b/>
                <w:color w:val="000000"/>
              </w:rPr>
            </w:pPr>
            <w:r w:rsidRPr="00C459CC">
              <w:rPr>
                <w:b/>
                <w:color w:val="000000"/>
              </w:rPr>
              <w:t>VICEPRIM-MINISTRU,</w:t>
            </w:r>
          </w:p>
          <w:p w14:paraId="51F9755C" w14:textId="30941617" w:rsidR="00E56AE6" w:rsidRPr="00C459CC" w:rsidRDefault="00CA564F" w:rsidP="00E56AE6">
            <w:pPr>
              <w:jc w:val="center"/>
              <w:rPr>
                <w:b/>
                <w:color w:val="000000"/>
              </w:rPr>
            </w:pPr>
            <w:r w:rsidRPr="00C459CC">
              <w:rPr>
                <w:b/>
                <w:color w:val="000000"/>
              </w:rPr>
              <w:t>MINISTRUL TRANSPORTURILOR ŞI INFRASTRUCTURII,</w:t>
            </w:r>
          </w:p>
          <w:p w14:paraId="1169C0A3" w14:textId="77777777" w:rsidR="00E56AE6" w:rsidRPr="00C459CC" w:rsidRDefault="00E56AE6" w:rsidP="00E56AE6">
            <w:pPr>
              <w:jc w:val="center"/>
              <w:rPr>
                <w:b/>
                <w:color w:val="000000"/>
              </w:rPr>
            </w:pPr>
          </w:p>
          <w:p w14:paraId="1CC9E3D1" w14:textId="68123F7F" w:rsidR="00C046FC" w:rsidRPr="00C459CC" w:rsidRDefault="00CA564F" w:rsidP="00C046FC">
            <w:pPr>
              <w:jc w:val="center"/>
              <w:rPr>
                <w:b/>
                <w:color w:val="000000"/>
              </w:rPr>
            </w:pPr>
            <w:r w:rsidRPr="00C459CC">
              <w:rPr>
                <w:b/>
                <w:color w:val="000000"/>
              </w:rPr>
              <w:t>SORIN MIHAI GRINDEANU</w:t>
            </w:r>
          </w:p>
          <w:p w14:paraId="0660BF9E" w14:textId="1391B7D3" w:rsidR="00E56AE6" w:rsidRPr="00C459CC" w:rsidRDefault="00E56AE6" w:rsidP="004657E1">
            <w:pPr>
              <w:rPr>
                <w:b/>
                <w:bCs/>
                <w:color w:val="000000"/>
                <w:u w:val="single"/>
              </w:rPr>
            </w:pPr>
          </w:p>
        </w:tc>
        <w:tc>
          <w:tcPr>
            <w:tcW w:w="4815" w:type="dxa"/>
          </w:tcPr>
          <w:p w14:paraId="16FD03D0" w14:textId="77777777" w:rsidR="00034C5B" w:rsidRPr="00C459CC" w:rsidRDefault="00034C5B" w:rsidP="00E56AE6">
            <w:pPr>
              <w:jc w:val="center"/>
              <w:rPr>
                <w:b/>
                <w:color w:val="000000"/>
              </w:rPr>
            </w:pPr>
          </w:p>
          <w:p w14:paraId="048C5B6E" w14:textId="5778318D" w:rsidR="00E56AE6" w:rsidRPr="00C459CC" w:rsidRDefault="00CA564F" w:rsidP="00E56AE6">
            <w:pPr>
              <w:jc w:val="center"/>
              <w:rPr>
                <w:b/>
                <w:color w:val="000000"/>
              </w:rPr>
            </w:pPr>
            <w:r w:rsidRPr="00C459CC">
              <w:rPr>
                <w:b/>
                <w:color w:val="000000"/>
              </w:rPr>
              <w:t>MINISTRUL DEZVOLTĂRII, LUCRĂRILOR PUBLICE ŞI ADMINISTRAŢIEI,</w:t>
            </w:r>
          </w:p>
          <w:p w14:paraId="71BC50A3" w14:textId="77777777" w:rsidR="00E56AE6" w:rsidRPr="00C459CC" w:rsidRDefault="00E56AE6" w:rsidP="00E56AE6">
            <w:pPr>
              <w:jc w:val="center"/>
              <w:rPr>
                <w:b/>
                <w:color w:val="000000"/>
              </w:rPr>
            </w:pPr>
          </w:p>
          <w:p w14:paraId="179C2B68" w14:textId="72D173A0" w:rsidR="00E56AE6" w:rsidRPr="00C459CC" w:rsidRDefault="00CA564F" w:rsidP="00E56AE6">
            <w:pPr>
              <w:jc w:val="center"/>
              <w:rPr>
                <w:b/>
                <w:color w:val="000000"/>
              </w:rPr>
            </w:pPr>
            <w:r w:rsidRPr="00C459CC">
              <w:rPr>
                <w:b/>
                <w:color w:val="000000"/>
              </w:rPr>
              <w:t xml:space="preserve">CSEKE ATTILA - ZOLTÁN </w:t>
            </w:r>
          </w:p>
          <w:p w14:paraId="48A3B856" w14:textId="77777777" w:rsidR="00E56AE6" w:rsidRPr="00C459CC" w:rsidRDefault="00E56AE6" w:rsidP="00B926A1">
            <w:pPr>
              <w:jc w:val="center"/>
              <w:rPr>
                <w:b/>
                <w:bCs/>
                <w:color w:val="000000"/>
                <w:u w:val="single"/>
              </w:rPr>
            </w:pPr>
          </w:p>
        </w:tc>
      </w:tr>
      <w:tr w:rsidR="00E56AE6" w:rsidRPr="00C459CC" w14:paraId="4114C9E6" w14:textId="77777777" w:rsidTr="002138A0">
        <w:tc>
          <w:tcPr>
            <w:tcW w:w="4814" w:type="dxa"/>
          </w:tcPr>
          <w:p w14:paraId="1360DF03" w14:textId="77777777" w:rsidR="00034C5B" w:rsidRPr="00C459CC" w:rsidRDefault="00034C5B" w:rsidP="004657E1">
            <w:pPr>
              <w:rPr>
                <w:b/>
                <w:color w:val="000000"/>
              </w:rPr>
            </w:pPr>
          </w:p>
          <w:p w14:paraId="01DA5359" w14:textId="77777777" w:rsidR="00034C5B" w:rsidRPr="00C459CC" w:rsidRDefault="00034C5B" w:rsidP="00E56AE6">
            <w:pPr>
              <w:jc w:val="center"/>
              <w:rPr>
                <w:b/>
                <w:color w:val="000000"/>
              </w:rPr>
            </w:pPr>
          </w:p>
          <w:p w14:paraId="4718C192" w14:textId="0AD05BC0" w:rsidR="00F3663A" w:rsidRPr="00C459CC" w:rsidRDefault="00CA564F" w:rsidP="00F3663A">
            <w:pPr>
              <w:jc w:val="center"/>
              <w:rPr>
                <w:b/>
                <w:color w:val="000000"/>
              </w:rPr>
            </w:pPr>
            <w:r w:rsidRPr="00C459CC">
              <w:rPr>
                <w:b/>
                <w:color w:val="000000"/>
              </w:rPr>
              <w:t>VICEPRIM-MINISTRU,</w:t>
            </w:r>
          </w:p>
          <w:p w14:paraId="35E66E2C" w14:textId="679593CF" w:rsidR="00E56AE6" w:rsidRPr="00C459CC" w:rsidRDefault="00CA564F" w:rsidP="00E56AE6">
            <w:pPr>
              <w:jc w:val="center"/>
              <w:rPr>
                <w:b/>
                <w:color w:val="000000"/>
              </w:rPr>
            </w:pPr>
            <w:r w:rsidRPr="00C459CC">
              <w:rPr>
                <w:b/>
                <w:color w:val="000000"/>
              </w:rPr>
              <w:t>MINISTRUL AGRICULTURII ŞI DEZVOLTĂRII RURALE, INTERIMAR</w:t>
            </w:r>
          </w:p>
          <w:p w14:paraId="53A5B487" w14:textId="77777777" w:rsidR="00E56AE6" w:rsidRPr="00C459CC" w:rsidRDefault="00E56AE6" w:rsidP="00E56AE6">
            <w:pPr>
              <w:jc w:val="center"/>
              <w:rPr>
                <w:b/>
                <w:color w:val="000000"/>
              </w:rPr>
            </w:pPr>
          </w:p>
          <w:p w14:paraId="58AE6C72" w14:textId="2000D07A" w:rsidR="00016271" w:rsidRPr="00C459CC" w:rsidRDefault="00CA564F" w:rsidP="00016271">
            <w:pPr>
              <w:jc w:val="center"/>
              <w:rPr>
                <w:b/>
                <w:color w:val="000000"/>
              </w:rPr>
            </w:pPr>
            <w:r w:rsidRPr="00C459CC">
              <w:rPr>
                <w:b/>
                <w:color w:val="000000"/>
              </w:rPr>
              <w:t>SORIN MIHAI GRINDEANU</w:t>
            </w:r>
          </w:p>
          <w:p w14:paraId="3E4024B5" w14:textId="77777777" w:rsidR="00E56AE6" w:rsidRPr="00C459CC" w:rsidRDefault="00E56AE6" w:rsidP="00E56AE6">
            <w:pPr>
              <w:jc w:val="center"/>
              <w:rPr>
                <w:b/>
                <w:color w:val="000000"/>
              </w:rPr>
            </w:pPr>
          </w:p>
          <w:p w14:paraId="73CA0495" w14:textId="7CBBD66B" w:rsidR="00E56AE6" w:rsidRPr="00C459CC" w:rsidRDefault="00CA564F" w:rsidP="00B926A1">
            <w:pPr>
              <w:jc w:val="center"/>
              <w:rPr>
                <w:b/>
                <w:bCs/>
                <w:color w:val="000000"/>
                <w:u w:val="single"/>
              </w:rPr>
            </w:pPr>
            <w:r w:rsidRPr="00C459CC">
              <w:rPr>
                <w:b/>
                <w:color w:val="000000"/>
              </w:rPr>
              <w:t>        </w:t>
            </w:r>
          </w:p>
        </w:tc>
        <w:tc>
          <w:tcPr>
            <w:tcW w:w="4815" w:type="dxa"/>
          </w:tcPr>
          <w:p w14:paraId="620B0279" w14:textId="77777777" w:rsidR="00034C5B" w:rsidRPr="00C459CC" w:rsidRDefault="00034C5B" w:rsidP="00E56AE6">
            <w:pPr>
              <w:jc w:val="center"/>
              <w:rPr>
                <w:b/>
                <w:color w:val="000000"/>
              </w:rPr>
            </w:pPr>
          </w:p>
          <w:p w14:paraId="2D2E06D6" w14:textId="77777777" w:rsidR="00034C5B" w:rsidRPr="00C459CC" w:rsidRDefault="00034C5B" w:rsidP="00E56AE6">
            <w:pPr>
              <w:jc w:val="center"/>
              <w:rPr>
                <w:b/>
                <w:color w:val="000000"/>
              </w:rPr>
            </w:pPr>
          </w:p>
          <w:p w14:paraId="13F6A67E" w14:textId="0B3CCC23" w:rsidR="00E56AE6" w:rsidRPr="00C459CC" w:rsidRDefault="00CA564F" w:rsidP="00E56AE6">
            <w:pPr>
              <w:jc w:val="center"/>
              <w:rPr>
                <w:b/>
                <w:color w:val="000000"/>
              </w:rPr>
            </w:pPr>
            <w:r w:rsidRPr="00C459CC">
              <w:rPr>
                <w:b/>
                <w:color w:val="000000"/>
              </w:rPr>
              <w:t>MINISTRUL AFACERILOR INTERNE,</w:t>
            </w:r>
          </w:p>
          <w:p w14:paraId="5055CE4D" w14:textId="77777777" w:rsidR="005974BF" w:rsidRPr="00C459CC" w:rsidRDefault="005974BF" w:rsidP="00E56AE6">
            <w:pPr>
              <w:jc w:val="center"/>
              <w:rPr>
                <w:b/>
                <w:color w:val="000000"/>
              </w:rPr>
            </w:pPr>
          </w:p>
          <w:p w14:paraId="7783ACFC" w14:textId="77777777" w:rsidR="00F3663A" w:rsidRPr="00C459CC" w:rsidRDefault="00F3663A" w:rsidP="00E56AE6">
            <w:pPr>
              <w:jc w:val="center"/>
              <w:rPr>
                <w:b/>
                <w:color w:val="000000"/>
              </w:rPr>
            </w:pPr>
          </w:p>
          <w:p w14:paraId="16CA9F99" w14:textId="04B4D5C7" w:rsidR="00E56AE6" w:rsidRPr="00C459CC" w:rsidRDefault="00CA564F" w:rsidP="00E56AE6">
            <w:pPr>
              <w:jc w:val="center"/>
              <w:rPr>
                <w:b/>
                <w:color w:val="000000"/>
              </w:rPr>
            </w:pPr>
            <w:r w:rsidRPr="00C459CC">
              <w:rPr>
                <w:b/>
                <w:color w:val="000000"/>
              </w:rPr>
              <w:t>          </w:t>
            </w:r>
          </w:p>
          <w:p w14:paraId="76596CAC" w14:textId="549A1FA8" w:rsidR="00E56AE6" w:rsidRPr="00C459CC" w:rsidRDefault="00CA564F" w:rsidP="00E56AE6">
            <w:pPr>
              <w:jc w:val="center"/>
              <w:rPr>
                <w:b/>
                <w:color w:val="000000"/>
              </w:rPr>
            </w:pPr>
            <w:r w:rsidRPr="00C459CC">
              <w:rPr>
                <w:b/>
                <w:color w:val="000000"/>
              </w:rPr>
              <w:t>LUCIAN NICOLAE BODE</w:t>
            </w:r>
          </w:p>
          <w:p w14:paraId="5EA4E56E" w14:textId="77777777" w:rsidR="00E56AE6" w:rsidRPr="00C459CC" w:rsidRDefault="00E56AE6" w:rsidP="00916FBD">
            <w:pPr>
              <w:jc w:val="both"/>
              <w:rPr>
                <w:b/>
                <w:bCs/>
                <w:color w:val="000000"/>
                <w:u w:val="single"/>
              </w:rPr>
            </w:pPr>
          </w:p>
          <w:p w14:paraId="44C35B06" w14:textId="77777777" w:rsidR="002138A0" w:rsidRPr="00C459CC" w:rsidRDefault="002138A0" w:rsidP="00916FBD">
            <w:pPr>
              <w:jc w:val="both"/>
              <w:rPr>
                <w:b/>
                <w:bCs/>
                <w:color w:val="000000"/>
                <w:u w:val="single"/>
              </w:rPr>
            </w:pPr>
          </w:p>
          <w:p w14:paraId="281ECFC0" w14:textId="78A09D66" w:rsidR="002138A0" w:rsidRPr="00C459CC" w:rsidRDefault="002138A0" w:rsidP="00916FBD">
            <w:pPr>
              <w:jc w:val="both"/>
              <w:rPr>
                <w:b/>
                <w:bCs/>
                <w:color w:val="000000"/>
                <w:u w:val="single"/>
              </w:rPr>
            </w:pPr>
          </w:p>
        </w:tc>
      </w:tr>
      <w:tr w:rsidR="00016271" w:rsidRPr="00C459CC" w14:paraId="4736F965" w14:textId="77777777" w:rsidTr="002138A0">
        <w:tc>
          <w:tcPr>
            <w:tcW w:w="4814" w:type="dxa"/>
          </w:tcPr>
          <w:p w14:paraId="662CF3F4" w14:textId="054402BE" w:rsidR="00016271" w:rsidRPr="00C459CC" w:rsidRDefault="00CA564F" w:rsidP="00E56AE6">
            <w:pPr>
              <w:jc w:val="center"/>
              <w:rPr>
                <w:b/>
                <w:bCs/>
                <w:color w:val="000000"/>
              </w:rPr>
            </w:pPr>
            <w:r w:rsidRPr="00C459CC">
              <w:rPr>
                <w:b/>
                <w:bCs/>
                <w:color w:val="000000"/>
              </w:rPr>
              <w:t>MINISTRUL ANTREPRENORIATULUI ȘI TURISMULUI</w:t>
            </w:r>
          </w:p>
          <w:p w14:paraId="0DB202D3" w14:textId="77777777" w:rsidR="00016271" w:rsidRPr="00C459CC" w:rsidRDefault="00016271" w:rsidP="005974BF">
            <w:pPr>
              <w:rPr>
                <w:b/>
                <w:color w:val="000000"/>
              </w:rPr>
            </w:pPr>
          </w:p>
          <w:p w14:paraId="1DA01CB6" w14:textId="00EB2F3F" w:rsidR="00016271" w:rsidRPr="00C459CC" w:rsidRDefault="00CA564F" w:rsidP="00E56AE6">
            <w:pPr>
              <w:jc w:val="center"/>
              <w:rPr>
                <w:b/>
                <w:color w:val="000000"/>
              </w:rPr>
            </w:pPr>
            <w:r w:rsidRPr="00C459CC">
              <w:rPr>
                <w:b/>
                <w:bCs/>
                <w:color w:val="000000"/>
              </w:rPr>
              <w:t>CONSTANTIN - DANIEL CADARIU</w:t>
            </w:r>
          </w:p>
        </w:tc>
        <w:tc>
          <w:tcPr>
            <w:tcW w:w="4815" w:type="dxa"/>
          </w:tcPr>
          <w:p w14:paraId="1EB84D77" w14:textId="77777777" w:rsidR="003B0DB8" w:rsidRPr="00C459CC" w:rsidRDefault="003B0DB8" w:rsidP="003B0DB8">
            <w:pPr>
              <w:jc w:val="center"/>
              <w:rPr>
                <w:b/>
                <w:color w:val="000000"/>
              </w:rPr>
            </w:pPr>
            <w:r w:rsidRPr="00C459CC">
              <w:rPr>
                <w:b/>
                <w:color w:val="000000"/>
              </w:rPr>
              <w:t>PREȘEDINTELE AGENȚIEI NAȚIONALE PENTRU ACHIZIȚII PUBLICE</w:t>
            </w:r>
          </w:p>
          <w:p w14:paraId="1F80A2AD" w14:textId="77777777" w:rsidR="003B0DB8" w:rsidRPr="00C459CC" w:rsidRDefault="003B0DB8" w:rsidP="003B0DB8">
            <w:pPr>
              <w:jc w:val="center"/>
              <w:rPr>
                <w:b/>
                <w:color w:val="000000"/>
              </w:rPr>
            </w:pPr>
          </w:p>
          <w:p w14:paraId="21F6A02C" w14:textId="24ED9586" w:rsidR="002138A0" w:rsidRPr="00C459CC" w:rsidRDefault="003B0DB8" w:rsidP="003B0DB8">
            <w:pPr>
              <w:jc w:val="center"/>
              <w:rPr>
                <w:b/>
                <w:color w:val="000000"/>
              </w:rPr>
            </w:pPr>
            <w:r w:rsidRPr="00C459CC">
              <w:rPr>
                <w:b/>
                <w:bCs/>
                <w:color w:val="000000"/>
              </w:rPr>
              <w:t>IULIANA FECLISTOV</w:t>
            </w:r>
          </w:p>
          <w:p w14:paraId="3463E0AB" w14:textId="77777777" w:rsidR="002138A0" w:rsidRPr="00C459CC" w:rsidRDefault="002138A0" w:rsidP="00E56AE6">
            <w:pPr>
              <w:jc w:val="center"/>
              <w:rPr>
                <w:b/>
                <w:color w:val="000000"/>
              </w:rPr>
            </w:pPr>
          </w:p>
          <w:p w14:paraId="763A4DCF" w14:textId="77777777" w:rsidR="003B0DB8" w:rsidRPr="00C459CC" w:rsidRDefault="003B0DB8" w:rsidP="00E56AE6">
            <w:pPr>
              <w:jc w:val="center"/>
              <w:rPr>
                <w:b/>
                <w:color w:val="000000"/>
              </w:rPr>
            </w:pPr>
          </w:p>
          <w:p w14:paraId="70F0BC52" w14:textId="77777777" w:rsidR="003B0DB8" w:rsidRPr="00C459CC" w:rsidRDefault="003B0DB8" w:rsidP="00E56AE6">
            <w:pPr>
              <w:jc w:val="center"/>
              <w:rPr>
                <w:b/>
                <w:color w:val="000000"/>
              </w:rPr>
            </w:pPr>
          </w:p>
          <w:p w14:paraId="227A41B1" w14:textId="2E4DC2C9" w:rsidR="003B0DB8" w:rsidRPr="00C459CC" w:rsidRDefault="003B0DB8" w:rsidP="003B0DB8">
            <w:pPr>
              <w:rPr>
                <w:b/>
                <w:color w:val="000000"/>
              </w:rPr>
            </w:pPr>
          </w:p>
        </w:tc>
      </w:tr>
      <w:tr w:rsidR="00016271" w:rsidRPr="00C459CC" w14:paraId="02280DE7" w14:textId="77777777" w:rsidTr="002138A0">
        <w:tc>
          <w:tcPr>
            <w:tcW w:w="4814" w:type="dxa"/>
          </w:tcPr>
          <w:p w14:paraId="7860CF8C" w14:textId="6A2471A1" w:rsidR="00016271" w:rsidRPr="00C459CC" w:rsidRDefault="00CA564F" w:rsidP="00E56AE6">
            <w:pPr>
              <w:jc w:val="center"/>
              <w:rPr>
                <w:b/>
                <w:color w:val="000000"/>
              </w:rPr>
            </w:pPr>
            <w:r w:rsidRPr="00C459CC">
              <w:rPr>
                <w:b/>
                <w:color w:val="000000"/>
              </w:rPr>
              <w:t>DIRECTORUL SERVICIULUI DE TELECOMUNICAȚII SPECIALE</w:t>
            </w:r>
          </w:p>
          <w:p w14:paraId="1B8FD2A8" w14:textId="77777777" w:rsidR="005974BF" w:rsidRPr="00C459CC" w:rsidRDefault="005974BF" w:rsidP="00E56AE6">
            <w:pPr>
              <w:jc w:val="center"/>
              <w:rPr>
                <w:b/>
                <w:color w:val="000000"/>
              </w:rPr>
            </w:pPr>
          </w:p>
          <w:p w14:paraId="70FA5C7C" w14:textId="77777777" w:rsidR="005974BF" w:rsidRPr="00C459CC" w:rsidRDefault="005974BF" w:rsidP="00E56AE6">
            <w:pPr>
              <w:jc w:val="center"/>
              <w:rPr>
                <w:b/>
                <w:color w:val="000000"/>
              </w:rPr>
            </w:pPr>
          </w:p>
          <w:p w14:paraId="7CD434E0" w14:textId="018CFB2E" w:rsidR="005974BF" w:rsidRPr="00C459CC" w:rsidRDefault="00CA564F" w:rsidP="005974BF">
            <w:pPr>
              <w:jc w:val="center"/>
              <w:rPr>
                <w:b/>
                <w:bCs/>
                <w:color w:val="000000"/>
                <w:lang w:val="en-US"/>
              </w:rPr>
            </w:pPr>
            <w:r w:rsidRPr="00C459CC">
              <w:rPr>
                <w:b/>
                <w:bCs/>
                <w:color w:val="000000"/>
                <w:lang w:val="en-US"/>
              </w:rPr>
              <w:t>IONEL - SORIN BĂLAN</w:t>
            </w:r>
          </w:p>
          <w:p w14:paraId="453039E8" w14:textId="350737F4" w:rsidR="005974BF" w:rsidRPr="00C459CC" w:rsidRDefault="005974BF" w:rsidP="00E56AE6">
            <w:pPr>
              <w:jc w:val="center"/>
              <w:rPr>
                <w:b/>
                <w:color w:val="000000"/>
              </w:rPr>
            </w:pPr>
          </w:p>
        </w:tc>
        <w:tc>
          <w:tcPr>
            <w:tcW w:w="4815" w:type="dxa"/>
          </w:tcPr>
          <w:p w14:paraId="16464B76" w14:textId="77777777" w:rsidR="003B0DB8" w:rsidRPr="00C459CC" w:rsidRDefault="003B0DB8" w:rsidP="003B0DB8">
            <w:pPr>
              <w:jc w:val="center"/>
              <w:rPr>
                <w:b/>
                <w:color w:val="000000"/>
              </w:rPr>
            </w:pPr>
            <w:r w:rsidRPr="00C459CC">
              <w:rPr>
                <w:b/>
                <w:color w:val="000000"/>
              </w:rPr>
              <w:t>MINISTRUL FINANŢELOR,</w:t>
            </w:r>
          </w:p>
          <w:p w14:paraId="21C9B547" w14:textId="77777777" w:rsidR="003B0DB8" w:rsidRPr="00C459CC" w:rsidRDefault="003B0DB8" w:rsidP="003B0DB8">
            <w:pPr>
              <w:jc w:val="center"/>
              <w:rPr>
                <w:b/>
                <w:color w:val="000000"/>
              </w:rPr>
            </w:pPr>
          </w:p>
          <w:p w14:paraId="523C1C3D" w14:textId="77777777" w:rsidR="003B0DB8" w:rsidRPr="00C459CC" w:rsidRDefault="003B0DB8" w:rsidP="003B0DB8">
            <w:pPr>
              <w:jc w:val="center"/>
              <w:rPr>
                <w:b/>
                <w:color w:val="000000"/>
              </w:rPr>
            </w:pPr>
            <w:r w:rsidRPr="00C459CC">
              <w:rPr>
                <w:b/>
                <w:color w:val="000000"/>
              </w:rPr>
              <w:t>ADRIAN CÂCIU</w:t>
            </w:r>
          </w:p>
          <w:p w14:paraId="662A5C69" w14:textId="1D5D1048" w:rsidR="00016271" w:rsidRPr="00C459CC" w:rsidRDefault="00016271" w:rsidP="005974BF">
            <w:pPr>
              <w:jc w:val="center"/>
              <w:rPr>
                <w:b/>
                <w:color w:val="000000"/>
              </w:rPr>
            </w:pPr>
          </w:p>
        </w:tc>
      </w:tr>
      <w:tr w:rsidR="003B0DB8" w:rsidRPr="00C459CC" w14:paraId="07FBF908" w14:textId="77777777" w:rsidTr="001C1ECE">
        <w:tc>
          <w:tcPr>
            <w:tcW w:w="9629" w:type="dxa"/>
            <w:gridSpan w:val="2"/>
          </w:tcPr>
          <w:p w14:paraId="028D02D6" w14:textId="77777777" w:rsidR="003B0DB8" w:rsidRPr="00C459CC" w:rsidRDefault="003B0DB8" w:rsidP="00E56AE6">
            <w:pPr>
              <w:jc w:val="center"/>
              <w:rPr>
                <w:b/>
                <w:color w:val="000000"/>
              </w:rPr>
            </w:pPr>
          </w:p>
          <w:p w14:paraId="5A31D101" w14:textId="77777777" w:rsidR="003B0DB8" w:rsidRPr="00C459CC" w:rsidRDefault="003B0DB8" w:rsidP="003B0DB8">
            <w:pPr>
              <w:rPr>
                <w:b/>
                <w:color w:val="000000"/>
              </w:rPr>
            </w:pPr>
          </w:p>
          <w:p w14:paraId="4B484BFA" w14:textId="1DB10229" w:rsidR="003B0DB8" w:rsidRPr="00C459CC" w:rsidRDefault="003B0DB8" w:rsidP="00E56AE6">
            <w:pPr>
              <w:jc w:val="center"/>
              <w:rPr>
                <w:b/>
                <w:color w:val="000000"/>
              </w:rPr>
            </w:pPr>
            <w:r w:rsidRPr="00C459CC">
              <w:rPr>
                <w:b/>
                <w:color w:val="000000"/>
              </w:rPr>
              <w:t>MINISTRUL JUSTIŢIEI,</w:t>
            </w:r>
          </w:p>
          <w:p w14:paraId="6E8A7573" w14:textId="77777777" w:rsidR="003B0DB8" w:rsidRPr="00C459CC" w:rsidRDefault="003B0DB8" w:rsidP="00E56AE6">
            <w:pPr>
              <w:jc w:val="center"/>
              <w:rPr>
                <w:b/>
                <w:color w:val="000000"/>
              </w:rPr>
            </w:pPr>
          </w:p>
          <w:p w14:paraId="2F978266" w14:textId="1424E6DD" w:rsidR="003B0DB8" w:rsidRPr="00C459CC" w:rsidRDefault="003B0DB8" w:rsidP="00E56AE6">
            <w:pPr>
              <w:jc w:val="center"/>
              <w:rPr>
                <w:b/>
                <w:color w:val="000000"/>
              </w:rPr>
            </w:pPr>
            <w:r w:rsidRPr="00C459CC">
              <w:rPr>
                <w:b/>
                <w:color w:val="000000"/>
              </w:rPr>
              <w:t>MARIAN - CĂTĂLIN PREDOIU</w:t>
            </w:r>
          </w:p>
          <w:p w14:paraId="6868651D" w14:textId="77777777" w:rsidR="003B0DB8" w:rsidRPr="00C459CC" w:rsidRDefault="003B0DB8" w:rsidP="00916FBD">
            <w:pPr>
              <w:jc w:val="both"/>
              <w:rPr>
                <w:b/>
                <w:bCs/>
                <w:color w:val="000000"/>
                <w:u w:val="single"/>
              </w:rPr>
            </w:pPr>
          </w:p>
        </w:tc>
      </w:tr>
    </w:tbl>
    <w:p w14:paraId="3F51A346" w14:textId="7C0838CC" w:rsidR="003948CA" w:rsidRPr="003948CA" w:rsidRDefault="003948CA" w:rsidP="00D802AE">
      <w:pPr>
        <w:jc w:val="both"/>
        <w:rPr>
          <w:b/>
          <w:bCs/>
          <w:color w:val="000000"/>
        </w:rPr>
      </w:pPr>
    </w:p>
    <w:sectPr w:rsidR="003948CA" w:rsidRPr="003948CA" w:rsidSect="00B66071">
      <w:footerReference w:type="even"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9D7D" w14:textId="77777777" w:rsidR="00A657CC" w:rsidRDefault="00A657CC">
      <w:r>
        <w:separator/>
      </w:r>
    </w:p>
  </w:endnote>
  <w:endnote w:type="continuationSeparator" w:id="0">
    <w:p w14:paraId="5F4E3AEF" w14:textId="77777777" w:rsidR="00A657CC" w:rsidRDefault="00A6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8418" w14:textId="3F9F30B8" w:rsidR="00DB7938" w:rsidRDefault="00DB7938" w:rsidP="00D81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307F">
      <w:rPr>
        <w:rStyle w:val="PageNumber"/>
        <w:noProof/>
      </w:rPr>
      <w:t>1</w:t>
    </w:r>
    <w:r>
      <w:rPr>
        <w:rStyle w:val="PageNumber"/>
      </w:rPr>
      <w:fldChar w:fldCharType="end"/>
    </w:r>
  </w:p>
  <w:p w14:paraId="70733C72" w14:textId="77777777" w:rsidR="00DB7938" w:rsidRDefault="00DB7938" w:rsidP="00D814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35E6" w14:textId="5D2BF51F" w:rsidR="00DB7938" w:rsidRDefault="00DB7938">
    <w:pPr>
      <w:pStyle w:val="Footer"/>
      <w:jc w:val="center"/>
    </w:pPr>
  </w:p>
  <w:p w14:paraId="0C442F9A" w14:textId="77777777" w:rsidR="00DB7938" w:rsidRDefault="00DB7938" w:rsidP="00D814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5A1C" w14:textId="77777777" w:rsidR="00A657CC" w:rsidRDefault="00A657CC">
      <w:r>
        <w:separator/>
      </w:r>
    </w:p>
  </w:footnote>
  <w:footnote w:type="continuationSeparator" w:id="0">
    <w:p w14:paraId="12126B02" w14:textId="77777777" w:rsidR="00A657CC" w:rsidRDefault="00A6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5A5"/>
    <w:multiLevelType w:val="hybridMultilevel"/>
    <w:tmpl w:val="55CA8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D61DE"/>
    <w:multiLevelType w:val="hybridMultilevel"/>
    <w:tmpl w:val="86DA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345EF"/>
    <w:multiLevelType w:val="hybridMultilevel"/>
    <w:tmpl w:val="B9EC4A38"/>
    <w:lvl w:ilvl="0" w:tplc="4014B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A3863"/>
    <w:multiLevelType w:val="hybridMultilevel"/>
    <w:tmpl w:val="8F3EDD4E"/>
    <w:lvl w:ilvl="0" w:tplc="FF4228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E6D42"/>
    <w:multiLevelType w:val="hybridMultilevel"/>
    <w:tmpl w:val="9A7C2B7C"/>
    <w:lvl w:ilvl="0" w:tplc="7B2EF8A0">
      <w:start w:val="2"/>
      <w:numFmt w:val="bullet"/>
      <w:lvlText w:val="-"/>
      <w:lvlJc w:val="left"/>
      <w:pPr>
        <w:ind w:left="819" w:hanging="360"/>
      </w:pPr>
      <w:rPr>
        <w:rFonts w:ascii="Times New Roman" w:eastAsia="Times New Roman"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5" w15:restartNumberingAfterBreak="0">
    <w:nsid w:val="1EC52885"/>
    <w:multiLevelType w:val="hybridMultilevel"/>
    <w:tmpl w:val="228A6CCC"/>
    <w:lvl w:ilvl="0" w:tplc="788AA9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3487A"/>
    <w:multiLevelType w:val="hybridMultilevel"/>
    <w:tmpl w:val="76A40B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5E3BB0"/>
    <w:multiLevelType w:val="hybridMultilevel"/>
    <w:tmpl w:val="81C2583E"/>
    <w:lvl w:ilvl="0" w:tplc="0D6C67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3352AF1"/>
    <w:multiLevelType w:val="multilevel"/>
    <w:tmpl w:val="48A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65F"/>
    <w:multiLevelType w:val="hybridMultilevel"/>
    <w:tmpl w:val="576421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AFA17FB"/>
    <w:multiLevelType w:val="multilevel"/>
    <w:tmpl w:val="5C64F5D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1D40AD"/>
    <w:multiLevelType w:val="hybridMultilevel"/>
    <w:tmpl w:val="EFF2C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4262B"/>
    <w:multiLevelType w:val="hybridMultilevel"/>
    <w:tmpl w:val="F7529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0A835"/>
    <w:multiLevelType w:val="multilevel"/>
    <w:tmpl w:val="602C4ED6"/>
    <w:lvl w:ilvl="0">
      <w:start w:val="1"/>
      <w:numFmt w:val="decimal"/>
      <w:lvlText w:val=""/>
      <w:lvlJc w:val="left"/>
      <w:pPr>
        <w:tabs>
          <w:tab w:val="num" w:pos="0"/>
        </w:tabs>
      </w:pPr>
      <w:rPr>
        <w:rFonts w:ascii="Symbol" w:hAnsi="Symbol" w:cs="Symbol"/>
        <w:sz w:val="28"/>
        <w:szCs w:val="28"/>
      </w:rPr>
    </w:lvl>
    <w:lvl w:ilvl="1">
      <w:start w:val="1"/>
      <w:numFmt w:val="decimal"/>
      <w:lvlText w:val=""/>
      <w:lvlJc w:val="left"/>
      <w:pPr>
        <w:tabs>
          <w:tab w:val="num" w:pos="0"/>
        </w:tabs>
        <w:ind w:left="570" w:hanging="570"/>
      </w:pPr>
      <w:rPr>
        <w:rFonts w:ascii="Courier New" w:hAnsi="Courier New" w:cs="Courier New"/>
        <w:sz w:val="24"/>
        <w:szCs w:val="24"/>
      </w:rPr>
    </w:lvl>
    <w:lvl w:ilvl="2">
      <w:start w:val="1"/>
      <w:numFmt w:val="decimal"/>
      <w:lvlText w:val=""/>
      <w:lvlJc w:val="left"/>
      <w:pPr>
        <w:tabs>
          <w:tab w:val="num" w:pos="0"/>
        </w:tabs>
        <w:ind w:left="720" w:hanging="720"/>
      </w:pPr>
      <w:rPr>
        <w:rFonts w:ascii="Wingdings" w:hAnsi="Wingdings" w:cs="Wingdings"/>
        <w:sz w:val="24"/>
        <w:szCs w:val="24"/>
      </w:rPr>
    </w:lvl>
    <w:lvl w:ilvl="3">
      <w:start w:val="1"/>
      <w:numFmt w:val="decimal"/>
      <w:lvlText w:val=""/>
      <w:lvlJc w:val="left"/>
      <w:pPr>
        <w:tabs>
          <w:tab w:val="num" w:pos="0"/>
        </w:tabs>
        <w:ind w:left="870" w:hanging="870"/>
      </w:pPr>
      <w:rPr>
        <w:rFonts w:ascii="Times New Roman" w:hAnsi="Times New Roman" w:cs="Times New Roman"/>
        <w:sz w:val="24"/>
        <w:szCs w:val="24"/>
      </w:rPr>
    </w:lvl>
    <w:lvl w:ilvl="4">
      <w:start w:val="1"/>
      <w:numFmt w:val="decimal"/>
      <w:lvlText w:val=""/>
      <w:lvlJc w:val="left"/>
      <w:pPr>
        <w:tabs>
          <w:tab w:val="num" w:pos="0"/>
        </w:tabs>
        <w:ind w:left="1005" w:hanging="1005"/>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b/>
        <w:bCs/>
        <w:sz w:val="28"/>
        <w:szCs w:val="28"/>
      </w:rPr>
    </w:lvl>
    <w:lvl w:ilvl="6">
      <w:start w:val="1"/>
      <w:numFmt w:val="decimal"/>
      <w:lvlText w:val=""/>
      <w:lvlJc w:val="left"/>
      <w:pPr>
        <w:tabs>
          <w:tab w:val="num" w:pos="0"/>
        </w:tabs>
        <w:ind w:left="1290" w:hanging="1290"/>
      </w:pPr>
      <w:rPr>
        <w:rFonts w:ascii="Times New Roman" w:hAnsi="Times New Roman" w:cs="Times New Roman"/>
        <w:sz w:val="24"/>
        <w:szCs w:val="24"/>
      </w:rPr>
    </w:lvl>
    <w:lvl w:ilvl="7">
      <w:start w:val="1"/>
      <w:numFmt w:val="decimal"/>
      <w:lvlText w:val=""/>
      <w:lvlJc w:val="left"/>
      <w:pPr>
        <w:tabs>
          <w:tab w:val="num" w:pos="0"/>
        </w:tabs>
        <w:ind w:left="1440" w:hanging="1440"/>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b/>
        <w:bCs/>
        <w:sz w:val="28"/>
        <w:szCs w:val="28"/>
      </w:rPr>
    </w:lvl>
  </w:abstractNum>
  <w:abstractNum w:abstractNumId="14" w15:restartNumberingAfterBreak="0">
    <w:nsid w:val="6EA631FA"/>
    <w:multiLevelType w:val="hybridMultilevel"/>
    <w:tmpl w:val="D68EB3A2"/>
    <w:lvl w:ilvl="0" w:tplc="EE5621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8AF1295"/>
    <w:multiLevelType w:val="hybridMultilevel"/>
    <w:tmpl w:val="0CF8FBF8"/>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79B149B5"/>
    <w:multiLevelType w:val="hybridMultilevel"/>
    <w:tmpl w:val="C32C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C03C2"/>
    <w:multiLevelType w:val="hybridMultilevel"/>
    <w:tmpl w:val="CA3A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87E24"/>
    <w:multiLevelType w:val="hybridMultilevel"/>
    <w:tmpl w:val="84C4FC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7DC24850"/>
    <w:multiLevelType w:val="multilevel"/>
    <w:tmpl w:val="E74C002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EB0002B"/>
    <w:multiLevelType w:val="multilevel"/>
    <w:tmpl w:val="7F56764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4132073">
    <w:abstractNumId w:val="0"/>
  </w:num>
  <w:num w:numId="2" w16cid:durableId="1966232199">
    <w:abstractNumId w:val="18"/>
  </w:num>
  <w:num w:numId="3" w16cid:durableId="1454328506">
    <w:abstractNumId w:val="14"/>
  </w:num>
  <w:num w:numId="4" w16cid:durableId="1664158794">
    <w:abstractNumId w:val="3"/>
  </w:num>
  <w:num w:numId="5" w16cid:durableId="1840270166">
    <w:abstractNumId w:val="8"/>
  </w:num>
  <w:num w:numId="6" w16cid:durableId="39866886">
    <w:abstractNumId w:val="16"/>
  </w:num>
  <w:num w:numId="7" w16cid:durableId="429469516">
    <w:abstractNumId w:val="7"/>
  </w:num>
  <w:num w:numId="8" w16cid:durableId="1103496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6009809">
    <w:abstractNumId w:val="15"/>
  </w:num>
  <w:num w:numId="10" w16cid:durableId="1678801108">
    <w:abstractNumId w:val="11"/>
  </w:num>
  <w:num w:numId="11" w16cid:durableId="2084328394">
    <w:abstractNumId w:val="9"/>
  </w:num>
  <w:num w:numId="12" w16cid:durableId="1321345571">
    <w:abstractNumId w:val="6"/>
  </w:num>
  <w:num w:numId="13" w16cid:durableId="1125347677">
    <w:abstractNumId w:val="5"/>
  </w:num>
  <w:num w:numId="14" w16cid:durableId="10844218">
    <w:abstractNumId w:val="12"/>
  </w:num>
  <w:num w:numId="15" w16cid:durableId="1276063548">
    <w:abstractNumId w:val="20"/>
  </w:num>
  <w:num w:numId="16" w16cid:durableId="1057513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604043">
    <w:abstractNumId w:val="10"/>
  </w:num>
  <w:num w:numId="18" w16cid:durableId="1976609">
    <w:abstractNumId w:val="2"/>
  </w:num>
  <w:num w:numId="19" w16cid:durableId="1308316131">
    <w:abstractNumId w:val="17"/>
  </w:num>
  <w:num w:numId="20" w16cid:durableId="2098548752">
    <w:abstractNumId w:val="1"/>
  </w:num>
  <w:num w:numId="21" w16cid:durableId="733813531">
    <w:abstractNumId w:val="19"/>
  </w:num>
  <w:num w:numId="22" w16cid:durableId="1140655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A6"/>
    <w:rsid w:val="000019B6"/>
    <w:rsid w:val="00002013"/>
    <w:rsid w:val="00002E4A"/>
    <w:rsid w:val="000040A1"/>
    <w:rsid w:val="000042B4"/>
    <w:rsid w:val="00006F20"/>
    <w:rsid w:val="0000707B"/>
    <w:rsid w:val="0001318A"/>
    <w:rsid w:val="00013621"/>
    <w:rsid w:val="0001442E"/>
    <w:rsid w:val="000155D5"/>
    <w:rsid w:val="000160F3"/>
    <w:rsid w:val="00016271"/>
    <w:rsid w:val="00017D04"/>
    <w:rsid w:val="0002299E"/>
    <w:rsid w:val="00022F5E"/>
    <w:rsid w:val="00024F37"/>
    <w:rsid w:val="00025015"/>
    <w:rsid w:val="000260DD"/>
    <w:rsid w:val="000265F7"/>
    <w:rsid w:val="00026B13"/>
    <w:rsid w:val="00027469"/>
    <w:rsid w:val="0002790E"/>
    <w:rsid w:val="00031D8D"/>
    <w:rsid w:val="0003205B"/>
    <w:rsid w:val="0003478D"/>
    <w:rsid w:val="00034C5B"/>
    <w:rsid w:val="00035D17"/>
    <w:rsid w:val="000369EF"/>
    <w:rsid w:val="00040B7B"/>
    <w:rsid w:val="00043471"/>
    <w:rsid w:val="00043911"/>
    <w:rsid w:val="00044209"/>
    <w:rsid w:val="0004452D"/>
    <w:rsid w:val="00046B44"/>
    <w:rsid w:val="000503A8"/>
    <w:rsid w:val="00054869"/>
    <w:rsid w:val="00054DF8"/>
    <w:rsid w:val="000563C0"/>
    <w:rsid w:val="00057629"/>
    <w:rsid w:val="00057EC8"/>
    <w:rsid w:val="00057FE6"/>
    <w:rsid w:val="00060E2F"/>
    <w:rsid w:val="00061E6F"/>
    <w:rsid w:val="0006216F"/>
    <w:rsid w:val="00062BA0"/>
    <w:rsid w:val="0006409E"/>
    <w:rsid w:val="00064A6B"/>
    <w:rsid w:val="00064E28"/>
    <w:rsid w:val="00066721"/>
    <w:rsid w:val="00067BE3"/>
    <w:rsid w:val="00070830"/>
    <w:rsid w:val="00071642"/>
    <w:rsid w:val="00073195"/>
    <w:rsid w:val="000733D3"/>
    <w:rsid w:val="0007609F"/>
    <w:rsid w:val="00076C55"/>
    <w:rsid w:val="000808EE"/>
    <w:rsid w:val="00080916"/>
    <w:rsid w:val="00081475"/>
    <w:rsid w:val="00083DB6"/>
    <w:rsid w:val="00083EAF"/>
    <w:rsid w:val="00084EE5"/>
    <w:rsid w:val="00084F56"/>
    <w:rsid w:val="00085904"/>
    <w:rsid w:val="00086114"/>
    <w:rsid w:val="00087383"/>
    <w:rsid w:val="00087C3B"/>
    <w:rsid w:val="00087C48"/>
    <w:rsid w:val="00090676"/>
    <w:rsid w:val="0009222E"/>
    <w:rsid w:val="00092376"/>
    <w:rsid w:val="0009320D"/>
    <w:rsid w:val="00093445"/>
    <w:rsid w:val="00094481"/>
    <w:rsid w:val="000949D2"/>
    <w:rsid w:val="00094AE3"/>
    <w:rsid w:val="00095300"/>
    <w:rsid w:val="0009621B"/>
    <w:rsid w:val="000A06E8"/>
    <w:rsid w:val="000A3F0F"/>
    <w:rsid w:val="000A437E"/>
    <w:rsid w:val="000A6298"/>
    <w:rsid w:val="000A71F1"/>
    <w:rsid w:val="000B036B"/>
    <w:rsid w:val="000B1818"/>
    <w:rsid w:val="000B214D"/>
    <w:rsid w:val="000B391A"/>
    <w:rsid w:val="000B3D76"/>
    <w:rsid w:val="000B4945"/>
    <w:rsid w:val="000B55D8"/>
    <w:rsid w:val="000B650E"/>
    <w:rsid w:val="000B665D"/>
    <w:rsid w:val="000B7506"/>
    <w:rsid w:val="000B753E"/>
    <w:rsid w:val="000C0031"/>
    <w:rsid w:val="000C1EF4"/>
    <w:rsid w:val="000C301C"/>
    <w:rsid w:val="000C3277"/>
    <w:rsid w:val="000C3586"/>
    <w:rsid w:val="000C3625"/>
    <w:rsid w:val="000C4A4F"/>
    <w:rsid w:val="000C54A4"/>
    <w:rsid w:val="000C58FE"/>
    <w:rsid w:val="000C614B"/>
    <w:rsid w:val="000C7465"/>
    <w:rsid w:val="000C7A5C"/>
    <w:rsid w:val="000C7D63"/>
    <w:rsid w:val="000C7EAF"/>
    <w:rsid w:val="000C7EEC"/>
    <w:rsid w:val="000D0889"/>
    <w:rsid w:val="000D23B9"/>
    <w:rsid w:val="000D2B20"/>
    <w:rsid w:val="000D2F94"/>
    <w:rsid w:val="000D315E"/>
    <w:rsid w:val="000D403B"/>
    <w:rsid w:val="000D4132"/>
    <w:rsid w:val="000D4C09"/>
    <w:rsid w:val="000D6861"/>
    <w:rsid w:val="000E0EA4"/>
    <w:rsid w:val="000E2C2D"/>
    <w:rsid w:val="000E3A58"/>
    <w:rsid w:val="000E6FCF"/>
    <w:rsid w:val="000E74F5"/>
    <w:rsid w:val="000F26C2"/>
    <w:rsid w:val="000F40EF"/>
    <w:rsid w:val="000F4F9F"/>
    <w:rsid w:val="000F6105"/>
    <w:rsid w:val="000F7896"/>
    <w:rsid w:val="00100251"/>
    <w:rsid w:val="00101A9B"/>
    <w:rsid w:val="001023B0"/>
    <w:rsid w:val="0010482B"/>
    <w:rsid w:val="00105808"/>
    <w:rsid w:val="001067AA"/>
    <w:rsid w:val="00106FB3"/>
    <w:rsid w:val="00106FE8"/>
    <w:rsid w:val="00107736"/>
    <w:rsid w:val="00107740"/>
    <w:rsid w:val="001077E3"/>
    <w:rsid w:val="00107E28"/>
    <w:rsid w:val="001110C2"/>
    <w:rsid w:val="00112E9E"/>
    <w:rsid w:val="001147BA"/>
    <w:rsid w:val="0011501B"/>
    <w:rsid w:val="00115083"/>
    <w:rsid w:val="00115131"/>
    <w:rsid w:val="00117ED7"/>
    <w:rsid w:val="00121CCC"/>
    <w:rsid w:val="001250F7"/>
    <w:rsid w:val="00125245"/>
    <w:rsid w:val="00126BBF"/>
    <w:rsid w:val="0013060B"/>
    <w:rsid w:val="00130ADF"/>
    <w:rsid w:val="00131281"/>
    <w:rsid w:val="001313D8"/>
    <w:rsid w:val="0013230E"/>
    <w:rsid w:val="00133A3B"/>
    <w:rsid w:val="0013619D"/>
    <w:rsid w:val="0013676D"/>
    <w:rsid w:val="00137A13"/>
    <w:rsid w:val="001459BC"/>
    <w:rsid w:val="0014608E"/>
    <w:rsid w:val="0014728C"/>
    <w:rsid w:val="001500EA"/>
    <w:rsid w:val="00152085"/>
    <w:rsid w:val="001528E8"/>
    <w:rsid w:val="00153B2A"/>
    <w:rsid w:val="0015446A"/>
    <w:rsid w:val="001544DC"/>
    <w:rsid w:val="0015762E"/>
    <w:rsid w:val="00157B5B"/>
    <w:rsid w:val="00160148"/>
    <w:rsid w:val="00161A61"/>
    <w:rsid w:val="00164F79"/>
    <w:rsid w:val="00164FF3"/>
    <w:rsid w:val="00165A07"/>
    <w:rsid w:val="00165C92"/>
    <w:rsid w:val="00165D35"/>
    <w:rsid w:val="0016702F"/>
    <w:rsid w:val="0016785A"/>
    <w:rsid w:val="00167EF9"/>
    <w:rsid w:val="0017030A"/>
    <w:rsid w:val="00170BBD"/>
    <w:rsid w:val="00170CBA"/>
    <w:rsid w:val="00170D4E"/>
    <w:rsid w:val="00172493"/>
    <w:rsid w:val="00173986"/>
    <w:rsid w:val="0017630C"/>
    <w:rsid w:val="001776C1"/>
    <w:rsid w:val="00177CD3"/>
    <w:rsid w:val="00177EC3"/>
    <w:rsid w:val="00180B7B"/>
    <w:rsid w:val="00181323"/>
    <w:rsid w:val="0018173D"/>
    <w:rsid w:val="00181DB6"/>
    <w:rsid w:val="00186E41"/>
    <w:rsid w:val="0019189C"/>
    <w:rsid w:val="001919CC"/>
    <w:rsid w:val="0019387C"/>
    <w:rsid w:val="001945C9"/>
    <w:rsid w:val="00197AD8"/>
    <w:rsid w:val="001A0854"/>
    <w:rsid w:val="001A0AEA"/>
    <w:rsid w:val="001A1AA3"/>
    <w:rsid w:val="001A1AE5"/>
    <w:rsid w:val="001A1D31"/>
    <w:rsid w:val="001A2A6E"/>
    <w:rsid w:val="001A374F"/>
    <w:rsid w:val="001A4420"/>
    <w:rsid w:val="001A78A0"/>
    <w:rsid w:val="001A7C31"/>
    <w:rsid w:val="001B1912"/>
    <w:rsid w:val="001B1AD6"/>
    <w:rsid w:val="001B22D1"/>
    <w:rsid w:val="001B23D0"/>
    <w:rsid w:val="001B2B36"/>
    <w:rsid w:val="001B3B27"/>
    <w:rsid w:val="001B4FE1"/>
    <w:rsid w:val="001B6DD8"/>
    <w:rsid w:val="001B7961"/>
    <w:rsid w:val="001C1FCF"/>
    <w:rsid w:val="001C2816"/>
    <w:rsid w:val="001C2EA5"/>
    <w:rsid w:val="001C33B5"/>
    <w:rsid w:val="001C3EF4"/>
    <w:rsid w:val="001C4735"/>
    <w:rsid w:val="001C4F97"/>
    <w:rsid w:val="001C55B8"/>
    <w:rsid w:val="001C6BF4"/>
    <w:rsid w:val="001C7510"/>
    <w:rsid w:val="001C7F48"/>
    <w:rsid w:val="001D0467"/>
    <w:rsid w:val="001D487A"/>
    <w:rsid w:val="001D5034"/>
    <w:rsid w:val="001D5DF9"/>
    <w:rsid w:val="001D68E9"/>
    <w:rsid w:val="001D7448"/>
    <w:rsid w:val="001E058E"/>
    <w:rsid w:val="001E0BD4"/>
    <w:rsid w:val="001E0D0D"/>
    <w:rsid w:val="001E10D6"/>
    <w:rsid w:val="001E11B1"/>
    <w:rsid w:val="001E2092"/>
    <w:rsid w:val="001E236E"/>
    <w:rsid w:val="001E5470"/>
    <w:rsid w:val="001E55B3"/>
    <w:rsid w:val="001E69E4"/>
    <w:rsid w:val="001E6A4B"/>
    <w:rsid w:val="001E708B"/>
    <w:rsid w:val="001E7255"/>
    <w:rsid w:val="001F14A2"/>
    <w:rsid w:val="001F1E7E"/>
    <w:rsid w:val="001F37EE"/>
    <w:rsid w:val="001F37F9"/>
    <w:rsid w:val="001F418F"/>
    <w:rsid w:val="001F6D5C"/>
    <w:rsid w:val="001F700D"/>
    <w:rsid w:val="001F7034"/>
    <w:rsid w:val="001F733F"/>
    <w:rsid w:val="00200720"/>
    <w:rsid w:val="002013CF"/>
    <w:rsid w:val="00210E9C"/>
    <w:rsid w:val="00211627"/>
    <w:rsid w:val="002116FE"/>
    <w:rsid w:val="00213877"/>
    <w:rsid w:val="002138A0"/>
    <w:rsid w:val="00213BDB"/>
    <w:rsid w:val="002153E2"/>
    <w:rsid w:val="00217238"/>
    <w:rsid w:val="00217BF3"/>
    <w:rsid w:val="00220BDB"/>
    <w:rsid w:val="00221987"/>
    <w:rsid w:val="00221B2B"/>
    <w:rsid w:val="00223491"/>
    <w:rsid w:val="00223AFB"/>
    <w:rsid w:val="00225653"/>
    <w:rsid w:val="00227A62"/>
    <w:rsid w:val="0023012D"/>
    <w:rsid w:val="00230EAE"/>
    <w:rsid w:val="00231324"/>
    <w:rsid w:val="00231F26"/>
    <w:rsid w:val="00232ED4"/>
    <w:rsid w:val="0023360D"/>
    <w:rsid w:val="002337CA"/>
    <w:rsid w:val="00233A87"/>
    <w:rsid w:val="00233D49"/>
    <w:rsid w:val="0023404B"/>
    <w:rsid w:val="002348DD"/>
    <w:rsid w:val="00234AB0"/>
    <w:rsid w:val="00234B65"/>
    <w:rsid w:val="002354D3"/>
    <w:rsid w:val="002404DC"/>
    <w:rsid w:val="002404F7"/>
    <w:rsid w:val="00243D26"/>
    <w:rsid w:val="00244CF8"/>
    <w:rsid w:val="00250C5C"/>
    <w:rsid w:val="00251605"/>
    <w:rsid w:val="00256383"/>
    <w:rsid w:val="0025682E"/>
    <w:rsid w:val="00260E13"/>
    <w:rsid w:val="002623AD"/>
    <w:rsid w:val="00262462"/>
    <w:rsid w:val="0026264B"/>
    <w:rsid w:val="00262AAC"/>
    <w:rsid w:val="00262CFA"/>
    <w:rsid w:val="00267571"/>
    <w:rsid w:val="00271D4C"/>
    <w:rsid w:val="00272D53"/>
    <w:rsid w:val="0027308F"/>
    <w:rsid w:val="00275947"/>
    <w:rsid w:val="00275D3D"/>
    <w:rsid w:val="00276B03"/>
    <w:rsid w:val="0027750A"/>
    <w:rsid w:val="00280BAF"/>
    <w:rsid w:val="00282E65"/>
    <w:rsid w:val="00283DDB"/>
    <w:rsid w:val="00286173"/>
    <w:rsid w:val="00286541"/>
    <w:rsid w:val="002869DC"/>
    <w:rsid w:val="00286DEC"/>
    <w:rsid w:val="00287EF2"/>
    <w:rsid w:val="00290E6F"/>
    <w:rsid w:val="00290FC6"/>
    <w:rsid w:val="00294152"/>
    <w:rsid w:val="0029430E"/>
    <w:rsid w:val="00294D46"/>
    <w:rsid w:val="002A409A"/>
    <w:rsid w:val="002A41C3"/>
    <w:rsid w:val="002A4A4D"/>
    <w:rsid w:val="002A7775"/>
    <w:rsid w:val="002A7B24"/>
    <w:rsid w:val="002B2155"/>
    <w:rsid w:val="002B28B0"/>
    <w:rsid w:val="002B2CA4"/>
    <w:rsid w:val="002B583C"/>
    <w:rsid w:val="002B689E"/>
    <w:rsid w:val="002B7888"/>
    <w:rsid w:val="002C122C"/>
    <w:rsid w:val="002C129E"/>
    <w:rsid w:val="002C1C7F"/>
    <w:rsid w:val="002C3361"/>
    <w:rsid w:val="002C37C4"/>
    <w:rsid w:val="002C4610"/>
    <w:rsid w:val="002C5396"/>
    <w:rsid w:val="002C6EEE"/>
    <w:rsid w:val="002C6F96"/>
    <w:rsid w:val="002D171F"/>
    <w:rsid w:val="002D2048"/>
    <w:rsid w:val="002D214D"/>
    <w:rsid w:val="002D2B9D"/>
    <w:rsid w:val="002D3A08"/>
    <w:rsid w:val="002D3CFD"/>
    <w:rsid w:val="002D519D"/>
    <w:rsid w:val="002D63DE"/>
    <w:rsid w:val="002E1F19"/>
    <w:rsid w:val="002E20A6"/>
    <w:rsid w:val="002E22BC"/>
    <w:rsid w:val="002E3AFC"/>
    <w:rsid w:val="002E3BEE"/>
    <w:rsid w:val="002E5329"/>
    <w:rsid w:val="002E5723"/>
    <w:rsid w:val="002E5889"/>
    <w:rsid w:val="002E6018"/>
    <w:rsid w:val="002E6BA8"/>
    <w:rsid w:val="002E7997"/>
    <w:rsid w:val="002E7E37"/>
    <w:rsid w:val="002F01BF"/>
    <w:rsid w:val="002F0CE9"/>
    <w:rsid w:val="002F1A5E"/>
    <w:rsid w:val="002F2645"/>
    <w:rsid w:val="002F36E2"/>
    <w:rsid w:val="002F4425"/>
    <w:rsid w:val="002F7F98"/>
    <w:rsid w:val="00300E1C"/>
    <w:rsid w:val="00302ADB"/>
    <w:rsid w:val="00302D6F"/>
    <w:rsid w:val="00302EF5"/>
    <w:rsid w:val="003034B1"/>
    <w:rsid w:val="00304361"/>
    <w:rsid w:val="00305061"/>
    <w:rsid w:val="0030581C"/>
    <w:rsid w:val="00305E5F"/>
    <w:rsid w:val="00306119"/>
    <w:rsid w:val="00310F95"/>
    <w:rsid w:val="00312439"/>
    <w:rsid w:val="003127E6"/>
    <w:rsid w:val="00312E6E"/>
    <w:rsid w:val="00312FF3"/>
    <w:rsid w:val="003138A1"/>
    <w:rsid w:val="00313BF1"/>
    <w:rsid w:val="00315CB8"/>
    <w:rsid w:val="003179ED"/>
    <w:rsid w:val="00320940"/>
    <w:rsid w:val="00322480"/>
    <w:rsid w:val="00324260"/>
    <w:rsid w:val="00324785"/>
    <w:rsid w:val="00324938"/>
    <w:rsid w:val="00325BC3"/>
    <w:rsid w:val="00326755"/>
    <w:rsid w:val="003278FD"/>
    <w:rsid w:val="00330048"/>
    <w:rsid w:val="00332715"/>
    <w:rsid w:val="00332F65"/>
    <w:rsid w:val="00332FEB"/>
    <w:rsid w:val="00333928"/>
    <w:rsid w:val="00333AB9"/>
    <w:rsid w:val="003357CA"/>
    <w:rsid w:val="00335C69"/>
    <w:rsid w:val="00344487"/>
    <w:rsid w:val="003456BD"/>
    <w:rsid w:val="00345C6D"/>
    <w:rsid w:val="0034765C"/>
    <w:rsid w:val="003543EA"/>
    <w:rsid w:val="003545B2"/>
    <w:rsid w:val="003547E5"/>
    <w:rsid w:val="0035521E"/>
    <w:rsid w:val="00355320"/>
    <w:rsid w:val="00355C12"/>
    <w:rsid w:val="00356457"/>
    <w:rsid w:val="003569BD"/>
    <w:rsid w:val="00357FC9"/>
    <w:rsid w:val="003605E7"/>
    <w:rsid w:val="0036135D"/>
    <w:rsid w:val="003645BA"/>
    <w:rsid w:val="00364EE7"/>
    <w:rsid w:val="00365A86"/>
    <w:rsid w:val="00365DE7"/>
    <w:rsid w:val="003668CF"/>
    <w:rsid w:val="003668F2"/>
    <w:rsid w:val="0037559F"/>
    <w:rsid w:val="00375B28"/>
    <w:rsid w:val="0037675E"/>
    <w:rsid w:val="00377E94"/>
    <w:rsid w:val="00381090"/>
    <w:rsid w:val="00381CD7"/>
    <w:rsid w:val="00385BC3"/>
    <w:rsid w:val="00385F76"/>
    <w:rsid w:val="003864F6"/>
    <w:rsid w:val="00390E31"/>
    <w:rsid w:val="00391737"/>
    <w:rsid w:val="0039344D"/>
    <w:rsid w:val="00393638"/>
    <w:rsid w:val="00393E05"/>
    <w:rsid w:val="003948CA"/>
    <w:rsid w:val="00396A04"/>
    <w:rsid w:val="00397570"/>
    <w:rsid w:val="003A3349"/>
    <w:rsid w:val="003A367D"/>
    <w:rsid w:val="003A6698"/>
    <w:rsid w:val="003A7570"/>
    <w:rsid w:val="003A7CA2"/>
    <w:rsid w:val="003A7CC0"/>
    <w:rsid w:val="003B02B3"/>
    <w:rsid w:val="003B0C77"/>
    <w:rsid w:val="003B0DB8"/>
    <w:rsid w:val="003B2329"/>
    <w:rsid w:val="003B3A2C"/>
    <w:rsid w:val="003B3F0B"/>
    <w:rsid w:val="003B424D"/>
    <w:rsid w:val="003B68CD"/>
    <w:rsid w:val="003B6E10"/>
    <w:rsid w:val="003C1670"/>
    <w:rsid w:val="003C19BF"/>
    <w:rsid w:val="003C4D24"/>
    <w:rsid w:val="003C56CF"/>
    <w:rsid w:val="003C63BE"/>
    <w:rsid w:val="003C6B82"/>
    <w:rsid w:val="003C6D3A"/>
    <w:rsid w:val="003D092D"/>
    <w:rsid w:val="003D4A34"/>
    <w:rsid w:val="003D6235"/>
    <w:rsid w:val="003D7B5C"/>
    <w:rsid w:val="003E080A"/>
    <w:rsid w:val="003E0917"/>
    <w:rsid w:val="003E358F"/>
    <w:rsid w:val="003E5FF2"/>
    <w:rsid w:val="003E7E6F"/>
    <w:rsid w:val="003F046A"/>
    <w:rsid w:val="003F10F8"/>
    <w:rsid w:val="003F4430"/>
    <w:rsid w:val="003F4EA4"/>
    <w:rsid w:val="003F5CF6"/>
    <w:rsid w:val="003F6ACA"/>
    <w:rsid w:val="003F7AF4"/>
    <w:rsid w:val="0040003B"/>
    <w:rsid w:val="004005AC"/>
    <w:rsid w:val="004007BE"/>
    <w:rsid w:val="00402A15"/>
    <w:rsid w:val="0040434F"/>
    <w:rsid w:val="00405F21"/>
    <w:rsid w:val="00406B07"/>
    <w:rsid w:val="00406FBE"/>
    <w:rsid w:val="0041039C"/>
    <w:rsid w:val="00414091"/>
    <w:rsid w:val="004162F1"/>
    <w:rsid w:val="0042197D"/>
    <w:rsid w:val="004248D9"/>
    <w:rsid w:val="00425D30"/>
    <w:rsid w:val="00426482"/>
    <w:rsid w:val="004268A6"/>
    <w:rsid w:val="00427CE2"/>
    <w:rsid w:val="004308FD"/>
    <w:rsid w:val="00434D7D"/>
    <w:rsid w:val="004353EE"/>
    <w:rsid w:val="00435F83"/>
    <w:rsid w:val="004362A6"/>
    <w:rsid w:val="0043660A"/>
    <w:rsid w:val="004369E0"/>
    <w:rsid w:val="00440136"/>
    <w:rsid w:val="0044348E"/>
    <w:rsid w:val="004449A8"/>
    <w:rsid w:val="00445A50"/>
    <w:rsid w:val="00446A81"/>
    <w:rsid w:val="00446B21"/>
    <w:rsid w:val="00446C51"/>
    <w:rsid w:val="004472F0"/>
    <w:rsid w:val="004516D9"/>
    <w:rsid w:val="004534D1"/>
    <w:rsid w:val="00454D72"/>
    <w:rsid w:val="004555DD"/>
    <w:rsid w:val="00455719"/>
    <w:rsid w:val="004561E9"/>
    <w:rsid w:val="004562CD"/>
    <w:rsid w:val="0045656F"/>
    <w:rsid w:val="00456611"/>
    <w:rsid w:val="00460CE3"/>
    <w:rsid w:val="00461DC3"/>
    <w:rsid w:val="0046279C"/>
    <w:rsid w:val="00462C37"/>
    <w:rsid w:val="00463434"/>
    <w:rsid w:val="00463E98"/>
    <w:rsid w:val="00464AED"/>
    <w:rsid w:val="0046568A"/>
    <w:rsid w:val="004657E1"/>
    <w:rsid w:val="00473382"/>
    <w:rsid w:val="00473DA2"/>
    <w:rsid w:val="00474E30"/>
    <w:rsid w:val="00475C30"/>
    <w:rsid w:val="0047738F"/>
    <w:rsid w:val="00477DA1"/>
    <w:rsid w:val="004803F0"/>
    <w:rsid w:val="004806BE"/>
    <w:rsid w:val="00481A82"/>
    <w:rsid w:val="00486DF5"/>
    <w:rsid w:val="00492D8F"/>
    <w:rsid w:val="00493464"/>
    <w:rsid w:val="004939DF"/>
    <w:rsid w:val="00493D01"/>
    <w:rsid w:val="0049586B"/>
    <w:rsid w:val="00495918"/>
    <w:rsid w:val="00495B40"/>
    <w:rsid w:val="004A2289"/>
    <w:rsid w:val="004A26E1"/>
    <w:rsid w:val="004A39EE"/>
    <w:rsid w:val="004A51ED"/>
    <w:rsid w:val="004A6FCC"/>
    <w:rsid w:val="004B01B5"/>
    <w:rsid w:val="004B13DF"/>
    <w:rsid w:val="004B1759"/>
    <w:rsid w:val="004B1ABD"/>
    <w:rsid w:val="004B23FC"/>
    <w:rsid w:val="004B254E"/>
    <w:rsid w:val="004B3C0A"/>
    <w:rsid w:val="004B3F38"/>
    <w:rsid w:val="004B64A6"/>
    <w:rsid w:val="004B7202"/>
    <w:rsid w:val="004B7CAD"/>
    <w:rsid w:val="004C0503"/>
    <w:rsid w:val="004C07F9"/>
    <w:rsid w:val="004C0ADD"/>
    <w:rsid w:val="004C103A"/>
    <w:rsid w:val="004C1092"/>
    <w:rsid w:val="004C1338"/>
    <w:rsid w:val="004C506A"/>
    <w:rsid w:val="004C7417"/>
    <w:rsid w:val="004D1B68"/>
    <w:rsid w:val="004D1FC0"/>
    <w:rsid w:val="004D210B"/>
    <w:rsid w:val="004D24D3"/>
    <w:rsid w:val="004D279E"/>
    <w:rsid w:val="004D27EE"/>
    <w:rsid w:val="004D5BA3"/>
    <w:rsid w:val="004D6ABC"/>
    <w:rsid w:val="004E1034"/>
    <w:rsid w:val="004E13AF"/>
    <w:rsid w:val="004E2CA0"/>
    <w:rsid w:val="004E3133"/>
    <w:rsid w:val="004E40FD"/>
    <w:rsid w:val="004E789F"/>
    <w:rsid w:val="004F0E4B"/>
    <w:rsid w:val="004F1FFD"/>
    <w:rsid w:val="004F32C6"/>
    <w:rsid w:val="004F49AA"/>
    <w:rsid w:val="004F521A"/>
    <w:rsid w:val="004F551E"/>
    <w:rsid w:val="005005B8"/>
    <w:rsid w:val="0050109F"/>
    <w:rsid w:val="00501C53"/>
    <w:rsid w:val="00505AF3"/>
    <w:rsid w:val="005066F6"/>
    <w:rsid w:val="00513D6F"/>
    <w:rsid w:val="00515920"/>
    <w:rsid w:val="00515AD8"/>
    <w:rsid w:val="00515DE0"/>
    <w:rsid w:val="00520345"/>
    <w:rsid w:val="00520BE3"/>
    <w:rsid w:val="00522A8B"/>
    <w:rsid w:val="0052442F"/>
    <w:rsid w:val="00524BB2"/>
    <w:rsid w:val="00527866"/>
    <w:rsid w:val="00530AC8"/>
    <w:rsid w:val="0053145E"/>
    <w:rsid w:val="0053190B"/>
    <w:rsid w:val="005338D3"/>
    <w:rsid w:val="00533CD3"/>
    <w:rsid w:val="00533DD2"/>
    <w:rsid w:val="00533E19"/>
    <w:rsid w:val="0053559E"/>
    <w:rsid w:val="0053566B"/>
    <w:rsid w:val="00540381"/>
    <w:rsid w:val="00542411"/>
    <w:rsid w:val="005429EF"/>
    <w:rsid w:val="00543A0A"/>
    <w:rsid w:val="005444AB"/>
    <w:rsid w:val="00546B5F"/>
    <w:rsid w:val="005514F5"/>
    <w:rsid w:val="00551930"/>
    <w:rsid w:val="00552EB0"/>
    <w:rsid w:val="00553426"/>
    <w:rsid w:val="00554716"/>
    <w:rsid w:val="00555D3D"/>
    <w:rsid w:val="00561803"/>
    <w:rsid w:val="00562652"/>
    <w:rsid w:val="0056358F"/>
    <w:rsid w:val="00563BF1"/>
    <w:rsid w:val="005649C0"/>
    <w:rsid w:val="00565752"/>
    <w:rsid w:val="00566969"/>
    <w:rsid w:val="00566EBF"/>
    <w:rsid w:val="00571569"/>
    <w:rsid w:val="00575BCE"/>
    <w:rsid w:val="0057730A"/>
    <w:rsid w:val="00577623"/>
    <w:rsid w:val="0058155C"/>
    <w:rsid w:val="00582047"/>
    <w:rsid w:val="00582184"/>
    <w:rsid w:val="00583D6C"/>
    <w:rsid w:val="00584568"/>
    <w:rsid w:val="00584BC8"/>
    <w:rsid w:val="00586890"/>
    <w:rsid w:val="005905E4"/>
    <w:rsid w:val="00591469"/>
    <w:rsid w:val="00595C2D"/>
    <w:rsid w:val="005966F6"/>
    <w:rsid w:val="005974BF"/>
    <w:rsid w:val="0059789A"/>
    <w:rsid w:val="00597910"/>
    <w:rsid w:val="005A133E"/>
    <w:rsid w:val="005A13C5"/>
    <w:rsid w:val="005A1D6C"/>
    <w:rsid w:val="005A2CFB"/>
    <w:rsid w:val="005A2F37"/>
    <w:rsid w:val="005A2FF2"/>
    <w:rsid w:val="005A47ED"/>
    <w:rsid w:val="005A506E"/>
    <w:rsid w:val="005A5A3E"/>
    <w:rsid w:val="005A5D29"/>
    <w:rsid w:val="005A64E9"/>
    <w:rsid w:val="005A7989"/>
    <w:rsid w:val="005B02AB"/>
    <w:rsid w:val="005B17BE"/>
    <w:rsid w:val="005B18ED"/>
    <w:rsid w:val="005B31F7"/>
    <w:rsid w:val="005B3992"/>
    <w:rsid w:val="005B58FF"/>
    <w:rsid w:val="005B68C3"/>
    <w:rsid w:val="005B6E0F"/>
    <w:rsid w:val="005B716F"/>
    <w:rsid w:val="005C190A"/>
    <w:rsid w:val="005C204E"/>
    <w:rsid w:val="005C22D6"/>
    <w:rsid w:val="005C2F53"/>
    <w:rsid w:val="005C5DD4"/>
    <w:rsid w:val="005D0029"/>
    <w:rsid w:val="005D05C7"/>
    <w:rsid w:val="005D33F6"/>
    <w:rsid w:val="005D3847"/>
    <w:rsid w:val="005D4320"/>
    <w:rsid w:val="005D4B0F"/>
    <w:rsid w:val="005D4F6E"/>
    <w:rsid w:val="005D66B3"/>
    <w:rsid w:val="005D69BA"/>
    <w:rsid w:val="005D6B6E"/>
    <w:rsid w:val="005E24DC"/>
    <w:rsid w:val="005E28B9"/>
    <w:rsid w:val="005E318B"/>
    <w:rsid w:val="005E34BD"/>
    <w:rsid w:val="005E494D"/>
    <w:rsid w:val="005E662E"/>
    <w:rsid w:val="005E6BD7"/>
    <w:rsid w:val="005E71B7"/>
    <w:rsid w:val="005F0EF5"/>
    <w:rsid w:val="005F27A0"/>
    <w:rsid w:val="005F2815"/>
    <w:rsid w:val="005F3CF4"/>
    <w:rsid w:val="005F592F"/>
    <w:rsid w:val="005F6E40"/>
    <w:rsid w:val="00601913"/>
    <w:rsid w:val="0060421A"/>
    <w:rsid w:val="0061096F"/>
    <w:rsid w:val="006109D5"/>
    <w:rsid w:val="00611280"/>
    <w:rsid w:val="00611340"/>
    <w:rsid w:val="00611644"/>
    <w:rsid w:val="0061330D"/>
    <w:rsid w:val="00615991"/>
    <w:rsid w:val="00615AA1"/>
    <w:rsid w:val="00615FE9"/>
    <w:rsid w:val="006174FC"/>
    <w:rsid w:val="0062007D"/>
    <w:rsid w:val="006234A3"/>
    <w:rsid w:val="00623B34"/>
    <w:rsid w:val="00624E3D"/>
    <w:rsid w:val="006259CC"/>
    <w:rsid w:val="006308CD"/>
    <w:rsid w:val="006314DE"/>
    <w:rsid w:val="00634816"/>
    <w:rsid w:val="00634CC1"/>
    <w:rsid w:val="00635197"/>
    <w:rsid w:val="00635FA5"/>
    <w:rsid w:val="0063636E"/>
    <w:rsid w:val="006363AA"/>
    <w:rsid w:val="0063696D"/>
    <w:rsid w:val="0063758C"/>
    <w:rsid w:val="00637985"/>
    <w:rsid w:val="0064250B"/>
    <w:rsid w:val="00642FB2"/>
    <w:rsid w:val="00643DFD"/>
    <w:rsid w:val="0064474A"/>
    <w:rsid w:val="006449AD"/>
    <w:rsid w:val="00644A56"/>
    <w:rsid w:val="00644DAA"/>
    <w:rsid w:val="00645209"/>
    <w:rsid w:val="00646267"/>
    <w:rsid w:val="006467F1"/>
    <w:rsid w:val="00646A8A"/>
    <w:rsid w:val="00646C74"/>
    <w:rsid w:val="00647401"/>
    <w:rsid w:val="0064777F"/>
    <w:rsid w:val="00647931"/>
    <w:rsid w:val="00650169"/>
    <w:rsid w:val="0065247A"/>
    <w:rsid w:val="00652918"/>
    <w:rsid w:val="00652E1B"/>
    <w:rsid w:val="00652E45"/>
    <w:rsid w:val="00653F32"/>
    <w:rsid w:val="006556FA"/>
    <w:rsid w:val="00656BD4"/>
    <w:rsid w:val="00657250"/>
    <w:rsid w:val="006600DC"/>
    <w:rsid w:val="00660605"/>
    <w:rsid w:val="006622B7"/>
    <w:rsid w:val="00662E0D"/>
    <w:rsid w:val="0066383C"/>
    <w:rsid w:val="0066428B"/>
    <w:rsid w:val="00664C4E"/>
    <w:rsid w:val="00665BFE"/>
    <w:rsid w:val="00667660"/>
    <w:rsid w:val="00670C79"/>
    <w:rsid w:val="00670DA7"/>
    <w:rsid w:val="00671536"/>
    <w:rsid w:val="0067280E"/>
    <w:rsid w:val="0067373F"/>
    <w:rsid w:val="006737CE"/>
    <w:rsid w:val="00674168"/>
    <w:rsid w:val="00674D58"/>
    <w:rsid w:val="00674E7A"/>
    <w:rsid w:val="006751FA"/>
    <w:rsid w:val="0067569B"/>
    <w:rsid w:val="00677B92"/>
    <w:rsid w:val="00680184"/>
    <w:rsid w:val="00680196"/>
    <w:rsid w:val="006801F0"/>
    <w:rsid w:val="006803EA"/>
    <w:rsid w:val="006813E4"/>
    <w:rsid w:val="0068253C"/>
    <w:rsid w:val="00683D39"/>
    <w:rsid w:val="006847F4"/>
    <w:rsid w:val="006877F6"/>
    <w:rsid w:val="00687A8C"/>
    <w:rsid w:val="00693450"/>
    <w:rsid w:val="00695912"/>
    <w:rsid w:val="00696435"/>
    <w:rsid w:val="006964C3"/>
    <w:rsid w:val="00697C9C"/>
    <w:rsid w:val="006A53C9"/>
    <w:rsid w:val="006A59CF"/>
    <w:rsid w:val="006A7045"/>
    <w:rsid w:val="006B0230"/>
    <w:rsid w:val="006B075E"/>
    <w:rsid w:val="006B0F3D"/>
    <w:rsid w:val="006B135C"/>
    <w:rsid w:val="006C162F"/>
    <w:rsid w:val="006C185A"/>
    <w:rsid w:val="006C1EBB"/>
    <w:rsid w:val="006C32FE"/>
    <w:rsid w:val="006C3986"/>
    <w:rsid w:val="006C4F78"/>
    <w:rsid w:val="006C545C"/>
    <w:rsid w:val="006C63AE"/>
    <w:rsid w:val="006C63C2"/>
    <w:rsid w:val="006C68C6"/>
    <w:rsid w:val="006C711B"/>
    <w:rsid w:val="006D07D6"/>
    <w:rsid w:val="006D09F8"/>
    <w:rsid w:val="006D0CA2"/>
    <w:rsid w:val="006D2138"/>
    <w:rsid w:val="006D37D0"/>
    <w:rsid w:val="006D46B5"/>
    <w:rsid w:val="006D52AD"/>
    <w:rsid w:val="006D6113"/>
    <w:rsid w:val="006E08CC"/>
    <w:rsid w:val="006E1DDD"/>
    <w:rsid w:val="006E224D"/>
    <w:rsid w:val="006E2EDF"/>
    <w:rsid w:val="006E48E4"/>
    <w:rsid w:val="006E4FBF"/>
    <w:rsid w:val="006E6287"/>
    <w:rsid w:val="006E718D"/>
    <w:rsid w:val="006E7C08"/>
    <w:rsid w:val="006F1F12"/>
    <w:rsid w:val="006F28C3"/>
    <w:rsid w:val="006F2A8A"/>
    <w:rsid w:val="006F2F9D"/>
    <w:rsid w:val="006F350D"/>
    <w:rsid w:val="006F4543"/>
    <w:rsid w:val="006F57C0"/>
    <w:rsid w:val="006F66B1"/>
    <w:rsid w:val="006F72EC"/>
    <w:rsid w:val="006F7D98"/>
    <w:rsid w:val="007050B8"/>
    <w:rsid w:val="00705F15"/>
    <w:rsid w:val="00707949"/>
    <w:rsid w:val="007118D7"/>
    <w:rsid w:val="00712405"/>
    <w:rsid w:val="00712C22"/>
    <w:rsid w:val="00713515"/>
    <w:rsid w:val="00720217"/>
    <w:rsid w:val="00721E13"/>
    <w:rsid w:val="00723783"/>
    <w:rsid w:val="00723AC4"/>
    <w:rsid w:val="00723BA7"/>
    <w:rsid w:val="00723E83"/>
    <w:rsid w:val="0072479B"/>
    <w:rsid w:val="00724EF9"/>
    <w:rsid w:val="0072598F"/>
    <w:rsid w:val="00725A79"/>
    <w:rsid w:val="007263F0"/>
    <w:rsid w:val="00726D70"/>
    <w:rsid w:val="00727AF1"/>
    <w:rsid w:val="00727BB5"/>
    <w:rsid w:val="00727F76"/>
    <w:rsid w:val="00730AD6"/>
    <w:rsid w:val="007314E7"/>
    <w:rsid w:val="00733688"/>
    <w:rsid w:val="00735154"/>
    <w:rsid w:val="007359E9"/>
    <w:rsid w:val="00736249"/>
    <w:rsid w:val="00736318"/>
    <w:rsid w:val="007406B5"/>
    <w:rsid w:val="00740823"/>
    <w:rsid w:val="00741AA7"/>
    <w:rsid w:val="00742BEF"/>
    <w:rsid w:val="0074315A"/>
    <w:rsid w:val="00745BB3"/>
    <w:rsid w:val="007478F2"/>
    <w:rsid w:val="00752622"/>
    <w:rsid w:val="00752B06"/>
    <w:rsid w:val="007541DF"/>
    <w:rsid w:val="00757DD1"/>
    <w:rsid w:val="00757F29"/>
    <w:rsid w:val="007600AE"/>
    <w:rsid w:val="00760C9F"/>
    <w:rsid w:val="0076289B"/>
    <w:rsid w:val="00763CC1"/>
    <w:rsid w:val="007640CC"/>
    <w:rsid w:val="007642C7"/>
    <w:rsid w:val="00764804"/>
    <w:rsid w:val="007678A9"/>
    <w:rsid w:val="00770E01"/>
    <w:rsid w:val="00771F93"/>
    <w:rsid w:val="00774611"/>
    <w:rsid w:val="0077582F"/>
    <w:rsid w:val="00775875"/>
    <w:rsid w:val="007806D3"/>
    <w:rsid w:val="0078437B"/>
    <w:rsid w:val="00784848"/>
    <w:rsid w:val="00784A78"/>
    <w:rsid w:val="00784C56"/>
    <w:rsid w:val="00785492"/>
    <w:rsid w:val="00786699"/>
    <w:rsid w:val="007872E4"/>
    <w:rsid w:val="00787457"/>
    <w:rsid w:val="00787A65"/>
    <w:rsid w:val="007912A9"/>
    <w:rsid w:val="007928CE"/>
    <w:rsid w:val="00793546"/>
    <w:rsid w:val="00793B14"/>
    <w:rsid w:val="007949E0"/>
    <w:rsid w:val="00794CB0"/>
    <w:rsid w:val="00795327"/>
    <w:rsid w:val="00795ECB"/>
    <w:rsid w:val="007975A4"/>
    <w:rsid w:val="00797A35"/>
    <w:rsid w:val="007A092D"/>
    <w:rsid w:val="007A20E4"/>
    <w:rsid w:val="007A28A7"/>
    <w:rsid w:val="007A294C"/>
    <w:rsid w:val="007A355E"/>
    <w:rsid w:val="007A4087"/>
    <w:rsid w:val="007A506B"/>
    <w:rsid w:val="007A5914"/>
    <w:rsid w:val="007A5DF7"/>
    <w:rsid w:val="007A67DD"/>
    <w:rsid w:val="007B37F8"/>
    <w:rsid w:val="007B5C1D"/>
    <w:rsid w:val="007B66A7"/>
    <w:rsid w:val="007C16BF"/>
    <w:rsid w:val="007C358C"/>
    <w:rsid w:val="007C3CB1"/>
    <w:rsid w:val="007D1511"/>
    <w:rsid w:val="007D1532"/>
    <w:rsid w:val="007D1B4B"/>
    <w:rsid w:val="007D26F6"/>
    <w:rsid w:val="007D383B"/>
    <w:rsid w:val="007D59C7"/>
    <w:rsid w:val="007D5B0F"/>
    <w:rsid w:val="007D6BE6"/>
    <w:rsid w:val="007E2B3E"/>
    <w:rsid w:val="007E2F46"/>
    <w:rsid w:val="007E315C"/>
    <w:rsid w:val="007E6D8E"/>
    <w:rsid w:val="007E7000"/>
    <w:rsid w:val="007F14F5"/>
    <w:rsid w:val="007F7226"/>
    <w:rsid w:val="0080159B"/>
    <w:rsid w:val="008041B9"/>
    <w:rsid w:val="008042E9"/>
    <w:rsid w:val="0080435E"/>
    <w:rsid w:val="00805594"/>
    <w:rsid w:val="00805A80"/>
    <w:rsid w:val="00806A0E"/>
    <w:rsid w:val="00810336"/>
    <w:rsid w:val="00812F1A"/>
    <w:rsid w:val="008147DC"/>
    <w:rsid w:val="00816500"/>
    <w:rsid w:val="00820027"/>
    <w:rsid w:val="00820EC8"/>
    <w:rsid w:val="00821135"/>
    <w:rsid w:val="00821A2E"/>
    <w:rsid w:val="00821E21"/>
    <w:rsid w:val="00822951"/>
    <w:rsid w:val="008236DD"/>
    <w:rsid w:val="00823B75"/>
    <w:rsid w:val="00823B92"/>
    <w:rsid w:val="00824F0E"/>
    <w:rsid w:val="008259E4"/>
    <w:rsid w:val="00826EED"/>
    <w:rsid w:val="00830CBA"/>
    <w:rsid w:val="00831008"/>
    <w:rsid w:val="008311B3"/>
    <w:rsid w:val="00833990"/>
    <w:rsid w:val="008339F9"/>
    <w:rsid w:val="00833F5C"/>
    <w:rsid w:val="00834D8E"/>
    <w:rsid w:val="00837BAB"/>
    <w:rsid w:val="008402E7"/>
    <w:rsid w:val="00840578"/>
    <w:rsid w:val="0084215A"/>
    <w:rsid w:val="00842DDA"/>
    <w:rsid w:val="00843606"/>
    <w:rsid w:val="008438F3"/>
    <w:rsid w:val="00843E24"/>
    <w:rsid w:val="008441CD"/>
    <w:rsid w:val="0084634B"/>
    <w:rsid w:val="0084657A"/>
    <w:rsid w:val="00847EA6"/>
    <w:rsid w:val="00850946"/>
    <w:rsid w:val="008532C2"/>
    <w:rsid w:val="00857F6E"/>
    <w:rsid w:val="00861374"/>
    <w:rsid w:val="008619CE"/>
    <w:rsid w:val="00862B66"/>
    <w:rsid w:val="008705E3"/>
    <w:rsid w:val="00870635"/>
    <w:rsid w:val="0087248D"/>
    <w:rsid w:val="00873608"/>
    <w:rsid w:val="00873E3D"/>
    <w:rsid w:val="008752C0"/>
    <w:rsid w:val="00875BCB"/>
    <w:rsid w:val="00876521"/>
    <w:rsid w:val="00880D07"/>
    <w:rsid w:val="00881537"/>
    <w:rsid w:val="00883375"/>
    <w:rsid w:val="008838DB"/>
    <w:rsid w:val="0088623E"/>
    <w:rsid w:val="0089074E"/>
    <w:rsid w:val="008909E5"/>
    <w:rsid w:val="00890D08"/>
    <w:rsid w:val="00894A0A"/>
    <w:rsid w:val="00894B05"/>
    <w:rsid w:val="0089511B"/>
    <w:rsid w:val="008955BC"/>
    <w:rsid w:val="008965DD"/>
    <w:rsid w:val="008975E9"/>
    <w:rsid w:val="008A1CD6"/>
    <w:rsid w:val="008A241B"/>
    <w:rsid w:val="008A2683"/>
    <w:rsid w:val="008A2707"/>
    <w:rsid w:val="008A2CEF"/>
    <w:rsid w:val="008A3EC9"/>
    <w:rsid w:val="008A44AD"/>
    <w:rsid w:val="008A45B5"/>
    <w:rsid w:val="008A4B30"/>
    <w:rsid w:val="008A4D7C"/>
    <w:rsid w:val="008A5644"/>
    <w:rsid w:val="008A6377"/>
    <w:rsid w:val="008B186A"/>
    <w:rsid w:val="008B1FAC"/>
    <w:rsid w:val="008B2AA3"/>
    <w:rsid w:val="008B33C1"/>
    <w:rsid w:val="008B4F8B"/>
    <w:rsid w:val="008B707D"/>
    <w:rsid w:val="008B7A75"/>
    <w:rsid w:val="008C1811"/>
    <w:rsid w:val="008C2535"/>
    <w:rsid w:val="008C2751"/>
    <w:rsid w:val="008C471E"/>
    <w:rsid w:val="008C6322"/>
    <w:rsid w:val="008C7047"/>
    <w:rsid w:val="008D050C"/>
    <w:rsid w:val="008D0751"/>
    <w:rsid w:val="008D3085"/>
    <w:rsid w:val="008D498E"/>
    <w:rsid w:val="008D4B12"/>
    <w:rsid w:val="008D5D01"/>
    <w:rsid w:val="008D7AA7"/>
    <w:rsid w:val="008E14AF"/>
    <w:rsid w:val="008E1534"/>
    <w:rsid w:val="008E3D03"/>
    <w:rsid w:val="008E43D1"/>
    <w:rsid w:val="008E48D1"/>
    <w:rsid w:val="008E534F"/>
    <w:rsid w:val="008E56F8"/>
    <w:rsid w:val="008E5DAF"/>
    <w:rsid w:val="008E61EE"/>
    <w:rsid w:val="008E64CB"/>
    <w:rsid w:val="008F06E5"/>
    <w:rsid w:val="008F29CC"/>
    <w:rsid w:val="008F2D62"/>
    <w:rsid w:val="008F32CD"/>
    <w:rsid w:val="008F3303"/>
    <w:rsid w:val="008F35A0"/>
    <w:rsid w:val="008F41E3"/>
    <w:rsid w:val="008F4914"/>
    <w:rsid w:val="008F681C"/>
    <w:rsid w:val="008F6907"/>
    <w:rsid w:val="008F7D4B"/>
    <w:rsid w:val="009009A6"/>
    <w:rsid w:val="00901A7B"/>
    <w:rsid w:val="00902751"/>
    <w:rsid w:val="0090277D"/>
    <w:rsid w:val="0090418B"/>
    <w:rsid w:val="00905E05"/>
    <w:rsid w:val="009064F7"/>
    <w:rsid w:val="009079AE"/>
    <w:rsid w:val="00907A27"/>
    <w:rsid w:val="00907A95"/>
    <w:rsid w:val="00907AEA"/>
    <w:rsid w:val="00910134"/>
    <w:rsid w:val="00911BC0"/>
    <w:rsid w:val="009135CF"/>
    <w:rsid w:val="0091403A"/>
    <w:rsid w:val="00915DA8"/>
    <w:rsid w:val="00916869"/>
    <w:rsid w:val="00916B41"/>
    <w:rsid w:val="00916FBD"/>
    <w:rsid w:val="009176B0"/>
    <w:rsid w:val="0092117E"/>
    <w:rsid w:val="00922398"/>
    <w:rsid w:val="00923B3E"/>
    <w:rsid w:val="009240BF"/>
    <w:rsid w:val="0092567A"/>
    <w:rsid w:val="00925D85"/>
    <w:rsid w:val="0092665F"/>
    <w:rsid w:val="00926ABC"/>
    <w:rsid w:val="009276B0"/>
    <w:rsid w:val="00931AF0"/>
    <w:rsid w:val="009359F1"/>
    <w:rsid w:val="00935C77"/>
    <w:rsid w:val="00935D53"/>
    <w:rsid w:val="00936CC4"/>
    <w:rsid w:val="00937558"/>
    <w:rsid w:val="00937743"/>
    <w:rsid w:val="009377B6"/>
    <w:rsid w:val="009377E2"/>
    <w:rsid w:val="00940057"/>
    <w:rsid w:val="009404CF"/>
    <w:rsid w:val="00944ABA"/>
    <w:rsid w:val="00947EA6"/>
    <w:rsid w:val="00953180"/>
    <w:rsid w:val="00954311"/>
    <w:rsid w:val="0095587D"/>
    <w:rsid w:val="00956192"/>
    <w:rsid w:val="009561EC"/>
    <w:rsid w:val="00965DE3"/>
    <w:rsid w:val="0096680B"/>
    <w:rsid w:val="0096697E"/>
    <w:rsid w:val="00966D02"/>
    <w:rsid w:val="009678EA"/>
    <w:rsid w:val="00972192"/>
    <w:rsid w:val="00973701"/>
    <w:rsid w:val="00973B5C"/>
    <w:rsid w:val="00973DEE"/>
    <w:rsid w:val="00975D7D"/>
    <w:rsid w:val="00976515"/>
    <w:rsid w:val="00980148"/>
    <w:rsid w:val="00980800"/>
    <w:rsid w:val="009817E8"/>
    <w:rsid w:val="00981C86"/>
    <w:rsid w:val="00982B95"/>
    <w:rsid w:val="009833F1"/>
    <w:rsid w:val="00983417"/>
    <w:rsid w:val="00983CAC"/>
    <w:rsid w:val="00983F6B"/>
    <w:rsid w:val="00983FBD"/>
    <w:rsid w:val="00985AB5"/>
    <w:rsid w:val="00987A22"/>
    <w:rsid w:val="00990092"/>
    <w:rsid w:val="00990429"/>
    <w:rsid w:val="0099350E"/>
    <w:rsid w:val="00996E8E"/>
    <w:rsid w:val="009A06A1"/>
    <w:rsid w:val="009A665B"/>
    <w:rsid w:val="009A6CC6"/>
    <w:rsid w:val="009A76F9"/>
    <w:rsid w:val="009B23EA"/>
    <w:rsid w:val="009B3290"/>
    <w:rsid w:val="009B381E"/>
    <w:rsid w:val="009B71DC"/>
    <w:rsid w:val="009C238D"/>
    <w:rsid w:val="009C25D9"/>
    <w:rsid w:val="009C2752"/>
    <w:rsid w:val="009C2B24"/>
    <w:rsid w:val="009C2D1E"/>
    <w:rsid w:val="009C44A4"/>
    <w:rsid w:val="009C5EAE"/>
    <w:rsid w:val="009C6624"/>
    <w:rsid w:val="009C7327"/>
    <w:rsid w:val="009D1BA6"/>
    <w:rsid w:val="009D4DAF"/>
    <w:rsid w:val="009D4F3B"/>
    <w:rsid w:val="009D5452"/>
    <w:rsid w:val="009D5A94"/>
    <w:rsid w:val="009D6969"/>
    <w:rsid w:val="009E1366"/>
    <w:rsid w:val="009E18FD"/>
    <w:rsid w:val="009E29C9"/>
    <w:rsid w:val="009E30F0"/>
    <w:rsid w:val="009E4949"/>
    <w:rsid w:val="009E5884"/>
    <w:rsid w:val="009E58ED"/>
    <w:rsid w:val="009E6059"/>
    <w:rsid w:val="009E6374"/>
    <w:rsid w:val="009E63F1"/>
    <w:rsid w:val="009E6591"/>
    <w:rsid w:val="009F06B0"/>
    <w:rsid w:val="009F22AF"/>
    <w:rsid w:val="009F327C"/>
    <w:rsid w:val="009F366F"/>
    <w:rsid w:val="009F4CAE"/>
    <w:rsid w:val="009F54C3"/>
    <w:rsid w:val="009F75F0"/>
    <w:rsid w:val="009F799C"/>
    <w:rsid w:val="00A00346"/>
    <w:rsid w:val="00A03C1C"/>
    <w:rsid w:val="00A0637C"/>
    <w:rsid w:val="00A07A20"/>
    <w:rsid w:val="00A10891"/>
    <w:rsid w:val="00A112E7"/>
    <w:rsid w:val="00A17529"/>
    <w:rsid w:val="00A17682"/>
    <w:rsid w:val="00A20532"/>
    <w:rsid w:val="00A20814"/>
    <w:rsid w:val="00A20D72"/>
    <w:rsid w:val="00A21824"/>
    <w:rsid w:val="00A225D0"/>
    <w:rsid w:val="00A23429"/>
    <w:rsid w:val="00A24686"/>
    <w:rsid w:val="00A25593"/>
    <w:rsid w:val="00A27068"/>
    <w:rsid w:val="00A2708A"/>
    <w:rsid w:val="00A33926"/>
    <w:rsid w:val="00A34796"/>
    <w:rsid w:val="00A35590"/>
    <w:rsid w:val="00A401BA"/>
    <w:rsid w:val="00A4290C"/>
    <w:rsid w:val="00A42D45"/>
    <w:rsid w:val="00A44D23"/>
    <w:rsid w:val="00A503B1"/>
    <w:rsid w:val="00A510BA"/>
    <w:rsid w:val="00A52229"/>
    <w:rsid w:val="00A54F6C"/>
    <w:rsid w:val="00A56581"/>
    <w:rsid w:val="00A56AF1"/>
    <w:rsid w:val="00A60FAE"/>
    <w:rsid w:val="00A61B9E"/>
    <w:rsid w:val="00A63839"/>
    <w:rsid w:val="00A6445C"/>
    <w:rsid w:val="00A64A1F"/>
    <w:rsid w:val="00A657CC"/>
    <w:rsid w:val="00A6751F"/>
    <w:rsid w:val="00A70147"/>
    <w:rsid w:val="00A71064"/>
    <w:rsid w:val="00A73ACA"/>
    <w:rsid w:val="00A749BF"/>
    <w:rsid w:val="00A74CC6"/>
    <w:rsid w:val="00A75729"/>
    <w:rsid w:val="00A76B01"/>
    <w:rsid w:val="00A76DC3"/>
    <w:rsid w:val="00A77929"/>
    <w:rsid w:val="00A80E81"/>
    <w:rsid w:val="00A822B2"/>
    <w:rsid w:val="00A82648"/>
    <w:rsid w:val="00A82B71"/>
    <w:rsid w:val="00A83729"/>
    <w:rsid w:val="00A85144"/>
    <w:rsid w:val="00A85D7B"/>
    <w:rsid w:val="00A87739"/>
    <w:rsid w:val="00A8791F"/>
    <w:rsid w:val="00A87BEC"/>
    <w:rsid w:val="00A902E1"/>
    <w:rsid w:val="00A90503"/>
    <w:rsid w:val="00A93216"/>
    <w:rsid w:val="00A938FC"/>
    <w:rsid w:val="00A93F34"/>
    <w:rsid w:val="00A94146"/>
    <w:rsid w:val="00A94B13"/>
    <w:rsid w:val="00A96C0B"/>
    <w:rsid w:val="00A96D1B"/>
    <w:rsid w:val="00A97519"/>
    <w:rsid w:val="00A979ED"/>
    <w:rsid w:val="00AA0A78"/>
    <w:rsid w:val="00AA0BC7"/>
    <w:rsid w:val="00AA203D"/>
    <w:rsid w:val="00AA279E"/>
    <w:rsid w:val="00AA2D93"/>
    <w:rsid w:val="00AA537E"/>
    <w:rsid w:val="00AA59A0"/>
    <w:rsid w:val="00AA5F65"/>
    <w:rsid w:val="00AA6FD4"/>
    <w:rsid w:val="00AA7200"/>
    <w:rsid w:val="00AA778D"/>
    <w:rsid w:val="00AB0812"/>
    <w:rsid w:val="00AB2920"/>
    <w:rsid w:val="00AB385C"/>
    <w:rsid w:val="00AC0A94"/>
    <w:rsid w:val="00AC1A4B"/>
    <w:rsid w:val="00AC22F4"/>
    <w:rsid w:val="00AC3642"/>
    <w:rsid w:val="00AD0126"/>
    <w:rsid w:val="00AD01C2"/>
    <w:rsid w:val="00AD0FCB"/>
    <w:rsid w:val="00AD159C"/>
    <w:rsid w:val="00AD320D"/>
    <w:rsid w:val="00AD4DD2"/>
    <w:rsid w:val="00AE1333"/>
    <w:rsid w:val="00AE6FA7"/>
    <w:rsid w:val="00AE7035"/>
    <w:rsid w:val="00AE7757"/>
    <w:rsid w:val="00AF060E"/>
    <w:rsid w:val="00AF2D42"/>
    <w:rsid w:val="00AF4402"/>
    <w:rsid w:val="00AF52C7"/>
    <w:rsid w:val="00AF569A"/>
    <w:rsid w:val="00AF572D"/>
    <w:rsid w:val="00AF5EEF"/>
    <w:rsid w:val="00AF79CB"/>
    <w:rsid w:val="00AF7F1E"/>
    <w:rsid w:val="00B012CD"/>
    <w:rsid w:val="00B01639"/>
    <w:rsid w:val="00B02B56"/>
    <w:rsid w:val="00B03B71"/>
    <w:rsid w:val="00B03C9D"/>
    <w:rsid w:val="00B07D81"/>
    <w:rsid w:val="00B11870"/>
    <w:rsid w:val="00B15C71"/>
    <w:rsid w:val="00B166B5"/>
    <w:rsid w:val="00B174D2"/>
    <w:rsid w:val="00B204B2"/>
    <w:rsid w:val="00B216CF"/>
    <w:rsid w:val="00B21946"/>
    <w:rsid w:val="00B246B4"/>
    <w:rsid w:val="00B262C8"/>
    <w:rsid w:val="00B26DB6"/>
    <w:rsid w:val="00B3015E"/>
    <w:rsid w:val="00B30D09"/>
    <w:rsid w:val="00B34382"/>
    <w:rsid w:val="00B34C51"/>
    <w:rsid w:val="00B3525C"/>
    <w:rsid w:val="00B36020"/>
    <w:rsid w:val="00B3735E"/>
    <w:rsid w:val="00B4121D"/>
    <w:rsid w:val="00B41404"/>
    <w:rsid w:val="00B41EA1"/>
    <w:rsid w:val="00B42866"/>
    <w:rsid w:val="00B42A83"/>
    <w:rsid w:val="00B452A3"/>
    <w:rsid w:val="00B4537B"/>
    <w:rsid w:val="00B505F9"/>
    <w:rsid w:val="00B50E2D"/>
    <w:rsid w:val="00B510BF"/>
    <w:rsid w:val="00B523ED"/>
    <w:rsid w:val="00B5244A"/>
    <w:rsid w:val="00B531AB"/>
    <w:rsid w:val="00B53C34"/>
    <w:rsid w:val="00B55926"/>
    <w:rsid w:val="00B651E4"/>
    <w:rsid w:val="00B65791"/>
    <w:rsid w:val="00B66071"/>
    <w:rsid w:val="00B66A36"/>
    <w:rsid w:val="00B72438"/>
    <w:rsid w:val="00B72BAB"/>
    <w:rsid w:val="00B73EBD"/>
    <w:rsid w:val="00B74559"/>
    <w:rsid w:val="00B75CCB"/>
    <w:rsid w:val="00B76557"/>
    <w:rsid w:val="00B81140"/>
    <w:rsid w:val="00B85489"/>
    <w:rsid w:val="00B87179"/>
    <w:rsid w:val="00B9048A"/>
    <w:rsid w:val="00B906E1"/>
    <w:rsid w:val="00B926A1"/>
    <w:rsid w:val="00B93B50"/>
    <w:rsid w:val="00B94461"/>
    <w:rsid w:val="00B951FF"/>
    <w:rsid w:val="00BA000A"/>
    <w:rsid w:val="00BA0F40"/>
    <w:rsid w:val="00BA118B"/>
    <w:rsid w:val="00BA328B"/>
    <w:rsid w:val="00BA3D5F"/>
    <w:rsid w:val="00BA47F0"/>
    <w:rsid w:val="00BA4E0F"/>
    <w:rsid w:val="00BB0782"/>
    <w:rsid w:val="00BB0DE5"/>
    <w:rsid w:val="00BB1C7E"/>
    <w:rsid w:val="00BB2E04"/>
    <w:rsid w:val="00BB3000"/>
    <w:rsid w:val="00BB34E3"/>
    <w:rsid w:val="00BB5721"/>
    <w:rsid w:val="00BB69DB"/>
    <w:rsid w:val="00BB6F82"/>
    <w:rsid w:val="00BC06F9"/>
    <w:rsid w:val="00BC2BA2"/>
    <w:rsid w:val="00BC2ED4"/>
    <w:rsid w:val="00BC3126"/>
    <w:rsid w:val="00BC36B3"/>
    <w:rsid w:val="00BC6BCA"/>
    <w:rsid w:val="00BD0693"/>
    <w:rsid w:val="00BD08E5"/>
    <w:rsid w:val="00BD0CA8"/>
    <w:rsid w:val="00BD0CCE"/>
    <w:rsid w:val="00BD0F2D"/>
    <w:rsid w:val="00BD1014"/>
    <w:rsid w:val="00BD396E"/>
    <w:rsid w:val="00BD4914"/>
    <w:rsid w:val="00BD4BB8"/>
    <w:rsid w:val="00BD55B7"/>
    <w:rsid w:val="00BD659A"/>
    <w:rsid w:val="00BD7AF5"/>
    <w:rsid w:val="00BD7F12"/>
    <w:rsid w:val="00BE0572"/>
    <w:rsid w:val="00BE0F0E"/>
    <w:rsid w:val="00BE20C3"/>
    <w:rsid w:val="00BE2331"/>
    <w:rsid w:val="00BE470D"/>
    <w:rsid w:val="00BE4A53"/>
    <w:rsid w:val="00BE6403"/>
    <w:rsid w:val="00BE7875"/>
    <w:rsid w:val="00BF0642"/>
    <w:rsid w:val="00BF1223"/>
    <w:rsid w:val="00BF21B1"/>
    <w:rsid w:val="00BF29AC"/>
    <w:rsid w:val="00BF4912"/>
    <w:rsid w:val="00BF4B8F"/>
    <w:rsid w:val="00C000FD"/>
    <w:rsid w:val="00C005BC"/>
    <w:rsid w:val="00C01DF1"/>
    <w:rsid w:val="00C02C4C"/>
    <w:rsid w:val="00C046FC"/>
    <w:rsid w:val="00C04D83"/>
    <w:rsid w:val="00C07EBD"/>
    <w:rsid w:val="00C1070D"/>
    <w:rsid w:val="00C10B3B"/>
    <w:rsid w:val="00C11ECE"/>
    <w:rsid w:val="00C129DE"/>
    <w:rsid w:val="00C150BB"/>
    <w:rsid w:val="00C16B79"/>
    <w:rsid w:val="00C2099E"/>
    <w:rsid w:val="00C224C0"/>
    <w:rsid w:val="00C22816"/>
    <w:rsid w:val="00C23CF0"/>
    <w:rsid w:val="00C249F4"/>
    <w:rsid w:val="00C3020C"/>
    <w:rsid w:val="00C31272"/>
    <w:rsid w:val="00C31BB5"/>
    <w:rsid w:val="00C34562"/>
    <w:rsid w:val="00C369F9"/>
    <w:rsid w:val="00C36FBC"/>
    <w:rsid w:val="00C410A7"/>
    <w:rsid w:val="00C417E1"/>
    <w:rsid w:val="00C459CC"/>
    <w:rsid w:val="00C47AA5"/>
    <w:rsid w:val="00C51826"/>
    <w:rsid w:val="00C525CD"/>
    <w:rsid w:val="00C52A04"/>
    <w:rsid w:val="00C52F58"/>
    <w:rsid w:val="00C5468F"/>
    <w:rsid w:val="00C551BE"/>
    <w:rsid w:val="00C55F9D"/>
    <w:rsid w:val="00C579D5"/>
    <w:rsid w:val="00C57FF1"/>
    <w:rsid w:val="00C60145"/>
    <w:rsid w:val="00C60836"/>
    <w:rsid w:val="00C60B49"/>
    <w:rsid w:val="00C61564"/>
    <w:rsid w:val="00C6168E"/>
    <w:rsid w:val="00C62223"/>
    <w:rsid w:val="00C63544"/>
    <w:rsid w:val="00C65412"/>
    <w:rsid w:val="00C715BD"/>
    <w:rsid w:val="00C7228F"/>
    <w:rsid w:val="00C74FB5"/>
    <w:rsid w:val="00C76128"/>
    <w:rsid w:val="00C77813"/>
    <w:rsid w:val="00C779AF"/>
    <w:rsid w:val="00C82776"/>
    <w:rsid w:val="00C8303E"/>
    <w:rsid w:val="00C83C7F"/>
    <w:rsid w:val="00C84EC9"/>
    <w:rsid w:val="00C85731"/>
    <w:rsid w:val="00C85E1E"/>
    <w:rsid w:val="00C8685C"/>
    <w:rsid w:val="00C87826"/>
    <w:rsid w:val="00C900B9"/>
    <w:rsid w:val="00C9066A"/>
    <w:rsid w:val="00C90AE0"/>
    <w:rsid w:val="00C926AE"/>
    <w:rsid w:val="00C9400D"/>
    <w:rsid w:val="00C9595A"/>
    <w:rsid w:val="00CA0FE5"/>
    <w:rsid w:val="00CA1B3B"/>
    <w:rsid w:val="00CA1E96"/>
    <w:rsid w:val="00CA560E"/>
    <w:rsid w:val="00CA564F"/>
    <w:rsid w:val="00CA57AB"/>
    <w:rsid w:val="00CA5CC9"/>
    <w:rsid w:val="00CA65F6"/>
    <w:rsid w:val="00CA723F"/>
    <w:rsid w:val="00CB09CE"/>
    <w:rsid w:val="00CB1B1A"/>
    <w:rsid w:val="00CB2A6E"/>
    <w:rsid w:val="00CB6C17"/>
    <w:rsid w:val="00CB71D1"/>
    <w:rsid w:val="00CB7304"/>
    <w:rsid w:val="00CB78C4"/>
    <w:rsid w:val="00CC0897"/>
    <w:rsid w:val="00CC1CB4"/>
    <w:rsid w:val="00CC3478"/>
    <w:rsid w:val="00CC7D0A"/>
    <w:rsid w:val="00CD02AB"/>
    <w:rsid w:val="00CD13F8"/>
    <w:rsid w:val="00CD2013"/>
    <w:rsid w:val="00CD242A"/>
    <w:rsid w:val="00CD28D5"/>
    <w:rsid w:val="00CD2EA0"/>
    <w:rsid w:val="00CD330F"/>
    <w:rsid w:val="00CD4123"/>
    <w:rsid w:val="00CD6788"/>
    <w:rsid w:val="00CD681E"/>
    <w:rsid w:val="00CE11F6"/>
    <w:rsid w:val="00CE2716"/>
    <w:rsid w:val="00CE2DFA"/>
    <w:rsid w:val="00CE2F2A"/>
    <w:rsid w:val="00CE461E"/>
    <w:rsid w:val="00CE4FE0"/>
    <w:rsid w:val="00CE699E"/>
    <w:rsid w:val="00CE7219"/>
    <w:rsid w:val="00CE7B3A"/>
    <w:rsid w:val="00CE7BEC"/>
    <w:rsid w:val="00CF00D7"/>
    <w:rsid w:val="00CF01F6"/>
    <w:rsid w:val="00CF1AC2"/>
    <w:rsid w:val="00CF2C6A"/>
    <w:rsid w:val="00CF5B2A"/>
    <w:rsid w:val="00CF5CDF"/>
    <w:rsid w:val="00CF6DC4"/>
    <w:rsid w:val="00CF76B3"/>
    <w:rsid w:val="00CF77BF"/>
    <w:rsid w:val="00CF7D07"/>
    <w:rsid w:val="00D00BE7"/>
    <w:rsid w:val="00D00E94"/>
    <w:rsid w:val="00D03109"/>
    <w:rsid w:val="00D03A53"/>
    <w:rsid w:val="00D04219"/>
    <w:rsid w:val="00D042B9"/>
    <w:rsid w:val="00D075C8"/>
    <w:rsid w:val="00D07BCA"/>
    <w:rsid w:val="00D100AF"/>
    <w:rsid w:val="00D100F6"/>
    <w:rsid w:val="00D11A4B"/>
    <w:rsid w:val="00D11A8B"/>
    <w:rsid w:val="00D125BB"/>
    <w:rsid w:val="00D14823"/>
    <w:rsid w:val="00D17BFC"/>
    <w:rsid w:val="00D21F05"/>
    <w:rsid w:val="00D24521"/>
    <w:rsid w:val="00D250E4"/>
    <w:rsid w:val="00D270E9"/>
    <w:rsid w:val="00D27C6F"/>
    <w:rsid w:val="00D30B66"/>
    <w:rsid w:val="00D31842"/>
    <w:rsid w:val="00D31C14"/>
    <w:rsid w:val="00D35098"/>
    <w:rsid w:val="00D36A23"/>
    <w:rsid w:val="00D36F00"/>
    <w:rsid w:val="00D40A25"/>
    <w:rsid w:val="00D42F42"/>
    <w:rsid w:val="00D43767"/>
    <w:rsid w:val="00D4461C"/>
    <w:rsid w:val="00D478F6"/>
    <w:rsid w:val="00D501A1"/>
    <w:rsid w:val="00D52251"/>
    <w:rsid w:val="00D52746"/>
    <w:rsid w:val="00D559BA"/>
    <w:rsid w:val="00D60512"/>
    <w:rsid w:val="00D60B36"/>
    <w:rsid w:val="00D61D54"/>
    <w:rsid w:val="00D63CCB"/>
    <w:rsid w:val="00D6530A"/>
    <w:rsid w:val="00D65446"/>
    <w:rsid w:val="00D65AAF"/>
    <w:rsid w:val="00D65E59"/>
    <w:rsid w:val="00D67480"/>
    <w:rsid w:val="00D7055A"/>
    <w:rsid w:val="00D70A75"/>
    <w:rsid w:val="00D72A31"/>
    <w:rsid w:val="00D73D1F"/>
    <w:rsid w:val="00D7465B"/>
    <w:rsid w:val="00D75E78"/>
    <w:rsid w:val="00D76B56"/>
    <w:rsid w:val="00D802AE"/>
    <w:rsid w:val="00D81420"/>
    <w:rsid w:val="00D8203D"/>
    <w:rsid w:val="00D82B67"/>
    <w:rsid w:val="00D85741"/>
    <w:rsid w:val="00D903E2"/>
    <w:rsid w:val="00D9055C"/>
    <w:rsid w:val="00D90A45"/>
    <w:rsid w:val="00D90C50"/>
    <w:rsid w:val="00D92F9F"/>
    <w:rsid w:val="00D93260"/>
    <w:rsid w:val="00D934F0"/>
    <w:rsid w:val="00D94754"/>
    <w:rsid w:val="00D94C5D"/>
    <w:rsid w:val="00D95E2C"/>
    <w:rsid w:val="00D977EB"/>
    <w:rsid w:val="00DA0CE7"/>
    <w:rsid w:val="00DA3DF4"/>
    <w:rsid w:val="00DA48DA"/>
    <w:rsid w:val="00DA6976"/>
    <w:rsid w:val="00DA7ECA"/>
    <w:rsid w:val="00DB0169"/>
    <w:rsid w:val="00DB02E7"/>
    <w:rsid w:val="00DB0AC3"/>
    <w:rsid w:val="00DB19FF"/>
    <w:rsid w:val="00DB1F3F"/>
    <w:rsid w:val="00DB2014"/>
    <w:rsid w:val="00DB2168"/>
    <w:rsid w:val="00DB2200"/>
    <w:rsid w:val="00DB31BA"/>
    <w:rsid w:val="00DB41EA"/>
    <w:rsid w:val="00DB456B"/>
    <w:rsid w:val="00DB67FA"/>
    <w:rsid w:val="00DB6D2A"/>
    <w:rsid w:val="00DB6E4E"/>
    <w:rsid w:val="00DB715E"/>
    <w:rsid w:val="00DB71DB"/>
    <w:rsid w:val="00DB7938"/>
    <w:rsid w:val="00DC2152"/>
    <w:rsid w:val="00DC6060"/>
    <w:rsid w:val="00DC611C"/>
    <w:rsid w:val="00DC663A"/>
    <w:rsid w:val="00DC7E22"/>
    <w:rsid w:val="00DD0632"/>
    <w:rsid w:val="00DD2A09"/>
    <w:rsid w:val="00DD31EE"/>
    <w:rsid w:val="00DD3713"/>
    <w:rsid w:val="00DD3B2B"/>
    <w:rsid w:val="00DD3CB9"/>
    <w:rsid w:val="00DD55D5"/>
    <w:rsid w:val="00DD590B"/>
    <w:rsid w:val="00DD5E00"/>
    <w:rsid w:val="00DD6D36"/>
    <w:rsid w:val="00DE0B13"/>
    <w:rsid w:val="00DE12BA"/>
    <w:rsid w:val="00DE3C7B"/>
    <w:rsid w:val="00DE6B95"/>
    <w:rsid w:val="00DE7345"/>
    <w:rsid w:val="00DF043F"/>
    <w:rsid w:val="00DF253B"/>
    <w:rsid w:val="00DF278B"/>
    <w:rsid w:val="00DF3D29"/>
    <w:rsid w:val="00DF6EFD"/>
    <w:rsid w:val="00DF742C"/>
    <w:rsid w:val="00DF7938"/>
    <w:rsid w:val="00E000E2"/>
    <w:rsid w:val="00E004DB"/>
    <w:rsid w:val="00E005C1"/>
    <w:rsid w:val="00E01B3E"/>
    <w:rsid w:val="00E01C97"/>
    <w:rsid w:val="00E020B4"/>
    <w:rsid w:val="00E028C6"/>
    <w:rsid w:val="00E07299"/>
    <w:rsid w:val="00E10987"/>
    <w:rsid w:val="00E10E9F"/>
    <w:rsid w:val="00E12162"/>
    <w:rsid w:val="00E1237D"/>
    <w:rsid w:val="00E1246C"/>
    <w:rsid w:val="00E15335"/>
    <w:rsid w:val="00E15FE2"/>
    <w:rsid w:val="00E17A0A"/>
    <w:rsid w:val="00E20973"/>
    <w:rsid w:val="00E20EAD"/>
    <w:rsid w:val="00E2114F"/>
    <w:rsid w:val="00E231B5"/>
    <w:rsid w:val="00E26138"/>
    <w:rsid w:val="00E27BBE"/>
    <w:rsid w:val="00E27D5F"/>
    <w:rsid w:val="00E27E4F"/>
    <w:rsid w:val="00E32F77"/>
    <w:rsid w:val="00E33F31"/>
    <w:rsid w:val="00E37B03"/>
    <w:rsid w:val="00E41838"/>
    <w:rsid w:val="00E429CC"/>
    <w:rsid w:val="00E44A2E"/>
    <w:rsid w:val="00E456B9"/>
    <w:rsid w:val="00E473DD"/>
    <w:rsid w:val="00E51892"/>
    <w:rsid w:val="00E51C99"/>
    <w:rsid w:val="00E5267F"/>
    <w:rsid w:val="00E52E82"/>
    <w:rsid w:val="00E541DB"/>
    <w:rsid w:val="00E54F18"/>
    <w:rsid w:val="00E56AE6"/>
    <w:rsid w:val="00E60E89"/>
    <w:rsid w:val="00E61936"/>
    <w:rsid w:val="00E62BA0"/>
    <w:rsid w:val="00E632E1"/>
    <w:rsid w:val="00E64002"/>
    <w:rsid w:val="00E65069"/>
    <w:rsid w:val="00E6615D"/>
    <w:rsid w:val="00E661DA"/>
    <w:rsid w:val="00E666A2"/>
    <w:rsid w:val="00E676F8"/>
    <w:rsid w:val="00E6795C"/>
    <w:rsid w:val="00E70CBD"/>
    <w:rsid w:val="00E70FF3"/>
    <w:rsid w:val="00E723B5"/>
    <w:rsid w:val="00E72D9D"/>
    <w:rsid w:val="00E73A92"/>
    <w:rsid w:val="00E760AA"/>
    <w:rsid w:val="00E775D3"/>
    <w:rsid w:val="00E806D4"/>
    <w:rsid w:val="00E827E8"/>
    <w:rsid w:val="00E8307F"/>
    <w:rsid w:val="00E832F5"/>
    <w:rsid w:val="00E84B9D"/>
    <w:rsid w:val="00E85FC6"/>
    <w:rsid w:val="00E86D1B"/>
    <w:rsid w:val="00E87DB5"/>
    <w:rsid w:val="00E95DBE"/>
    <w:rsid w:val="00E963FB"/>
    <w:rsid w:val="00E975A8"/>
    <w:rsid w:val="00EA0275"/>
    <w:rsid w:val="00EA1D46"/>
    <w:rsid w:val="00EA29A3"/>
    <w:rsid w:val="00EA4A4C"/>
    <w:rsid w:val="00EA543D"/>
    <w:rsid w:val="00EA6DD0"/>
    <w:rsid w:val="00EA71B1"/>
    <w:rsid w:val="00EB025B"/>
    <w:rsid w:val="00EB12C9"/>
    <w:rsid w:val="00EB198B"/>
    <w:rsid w:val="00EB2240"/>
    <w:rsid w:val="00EB38EF"/>
    <w:rsid w:val="00EB44C1"/>
    <w:rsid w:val="00EB6ADA"/>
    <w:rsid w:val="00EC15BB"/>
    <w:rsid w:val="00EC161A"/>
    <w:rsid w:val="00EC4A3F"/>
    <w:rsid w:val="00EC4E93"/>
    <w:rsid w:val="00EC6C98"/>
    <w:rsid w:val="00EC6E0D"/>
    <w:rsid w:val="00EC7CA8"/>
    <w:rsid w:val="00ED006E"/>
    <w:rsid w:val="00ED0802"/>
    <w:rsid w:val="00ED0BAF"/>
    <w:rsid w:val="00ED2169"/>
    <w:rsid w:val="00ED4506"/>
    <w:rsid w:val="00ED5D29"/>
    <w:rsid w:val="00ED6EE3"/>
    <w:rsid w:val="00ED6F01"/>
    <w:rsid w:val="00EE0C75"/>
    <w:rsid w:val="00EE1F28"/>
    <w:rsid w:val="00EE2811"/>
    <w:rsid w:val="00EE46DE"/>
    <w:rsid w:val="00EE5FBE"/>
    <w:rsid w:val="00EE7541"/>
    <w:rsid w:val="00EE79AE"/>
    <w:rsid w:val="00EF067B"/>
    <w:rsid w:val="00EF0CD0"/>
    <w:rsid w:val="00EF284D"/>
    <w:rsid w:val="00EF2A2C"/>
    <w:rsid w:val="00EF30E5"/>
    <w:rsid w:val="00EF37B4"/>
    <w:rsid w:val="00EF4272"/>
    <w:rsid w:val="00EF45F3"/>
    <w:rsid w:val="00EF4ECD"/>
    <w:rsid w:val="00EF5746"/>
    <w:rsid w:val="00EF587D"/>
    <w:rsid w:val="00EF7A51"/>
    <w:rsid w:val="00EF7E66"/>
    <w:rsid w:val="00F0098C"/>
    <w:rsid w:val="00F03628"/>
    <w:rsid w:val="00F06D25"/>
    <w:rsid w:val="00F11E9E"/>
    <w:rsid w:val="00F13D00"/>
    <w:rsid w:val="00F1504E"/>
    <w:rsid w:val="00F1512E"/>
    <w:rsid w:val="00F206EA"/>
    <w:rsid w:val="00F232DE"/>
    <w:rsid w:val="00F24977"/>
    <w:rsid w:val="00F24B2C"/>
    <w:rsid w:val="00F26279"/>
    <w:rsid w:val="00F2705F"/>
    <w:rsid w:val="00F27C6C"/>
    <w:rsid w:val="00F33BDF"/>
    <w:rsid w:val="00F3663A"/>
    <w:rsid w:val="00F3755A"/>
    <w:rsid w:val="00F37A62"/>
    <w:rsid w:val="00F4129B"/>
    <w:rsid w:val="00F42A68"/>
    <w:rsid w:val="00F43AF9"/>
    <w:rsid w:val="00F43F47"/>
    <w:rsid w:val="00F45473"/>
    <w:rsid w:val="00F45A78"/>
    <w:rsid w:val="00F468B8"/>
    <w:rsid w:val="00F470C3"/>
    <w:rsid w:val="00F50033"/>
    <w:rsid w:val="00F5090C"/>
    <w:rsid w:val="00F51A9F"/>
    <w:rsid w:val="00F52D4D"/>
    <w:rsid w:val="00F52E60"/>
    <w:rsid w:val="00F537FA"/>
    <w:rsid w:val="00F60956"/>
    <w:rsid w:val="00F618F1"/>
    <w:rsid w:val="00F62A1B"/>
    <w:rsid w:val="00F63F2A"/>
    <w:rsid w:val="00F650D3"/>
    <w:rsid w:val="00F6643C"/>
    <w:rsid w:val="00F67880"/>
    <w:rsid w:val="00F7024F"/>
    <w:rsid w:val="00F713F8"/>
    <w:rsid w:val="00F72189"/>
    <w:rsid w:val="00F73219"/>
    <w:rsid w:val="00F73667"/>
    <w:rsid w:val="00F73D39"/>
    <w:rsid w:val="00F7454F"/>
    <w:rsid w:val="00F7637B"/>
    <w:rsid w:val="00F76BCF"/>
    <w:rsid w:val="00F77CF6"/>
    <w:rsid w:val="00F8335E"/>
    <w:rsid w:val="00F86559"/>
    <w:rsid w:val="00F87C10"/>
    <w:rsid w:val="00F91E8F"/>
    <w:rsid w:val="00F92280"/>
    <w:rsid w:val="00F941F9"/>
    <w:rsid w:val="00F943CE"/>
    <w:rsid w:val="00F9478D"/>
    <w:rsid w:val="00F9740E"/>
    <w:rsid w:val="00FA062B"/>
    <w:rsid w:val="00FA0D5C"/>
    <w:rsid w:val="00FA1077"/>
    <w:rsid w:val="00FA1098"/>
    <w:rsid w:val="00FA21AA"/>
    <w:rsid w:val="00FA47DC"/>
    <w:rsid w:val="00FA6179"/>
    <w:rsid w:val="00FA63A2"/>
    <w:rsid w:val="00FA66DE"/>
    <w:rsid w:val="00FA6C94"/>
    <w:rsid w:val="00FA7CB6"/>
    <w:rsid w:val="00FB071A"/>
    <w:rsid w:val="00FB1A16"/>
    <w:rsid w:val="00FB1A1C"/>
    <w:rsid w:val="00FB2692"/>
    <w:rsid w:val="00FB45DC"/>
    <w:rsid w:val="00FB5FAE"/>
    <w:rsid w:val="00FB6753"/>
    <w:rsid w:val="00FB676B"/>
    <w:rsid w:val="00FB743A"/>
    <w:rsid w:val="00FB75B2"/>
    <w:rsid w:val="00FB7F41"/>
    <w:rsid w:val="00FB7FC4"/>
    <w:rsid w:val="00FC0303"/>
    <w:rsid w:val="00FC1267"/>
    <w:rsid w:val="00FC28C3"/>
    <w:rsid w:val="00FC430A"/>
    <w:rsid w:val="00FC5120"/>
    <w:rsid w:val="00FC5961"/>
    <w:rsid w:val="00FC5F3D"/>
    <w:rsid w:val="00FD0D95"/>
    <w:rsid w:val="00FD3526"/>
    <w:rsid w:val="00FD5713"/>
    <w:rsid w:val="00FD6CF0"/>
    <w:rsid w:val="00FD7CF9"/>
    <w:rsid w:val="00FE0185"/>
    <w:rsid w:val="00FE0DFF"/>
    <w:rsid w:val="00FE39A9"/>
    <w:rsid w:val="00FE4B86"/>
    <w:rsid w:val="00FE56AF"/>
    <w:rsid w:val="00FE6A77"/>
    <w:rsid w:val="00FF1D41"/>
    <w:rsid w:val="00FF2CC0"/>
    <w:rsid w:val="00FF2F4B"/>
    <w:rsid w:val="00FF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96567"/>
  <w15:docId w15:val="{714235E0-F0E4-4378-BEB5-B59A52FC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E1"/>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70C79"/>
    <w:pPr>
      <w:keepNext/>
      <w:spacing w:line="360" w:lineRule="auto"/>
      <w:outlineLvl w:val="0"/>
    </w:pPr>
    <w:rPr>
      <w:sz w:val="28"/>
    </w:rPr>
  </w:style>
  <w:style w:type="paragraph" w:styleId="Heading2">
    <w:name w:val="heading 2"/>
    <w:basedOn w:val="Normal"/>
    <w:next w:val="Normal"/>
    <w:link w:val="Heading2Char"/>
    <w:qFormat/>
    <w:rsid w:val="00670C79"/>
    <w:pPr>
      <w:keepNext/>
      <w:jc w:val="both"/>
      <w:outlineLvl w:val="1"/>
    </w:pPr>
    <w:rPr>
      <w:sz w:val="28"/>
    </w:rPr>
  </w:style>
  <w:style w:type="paragraph" w:styleId="Heading3">
    <w:name w:val="heading 3"/>
    <w:basedOn w:val="Normal"/>
    <w:next w:val="Normal"/>
    <w:link w:val="Heading3Char"/>
    <w:uiPriority w:val="9"/>
    <w:unhideWhenUsed/>
    <w:qFormat/>
    <w:rsid w:val="00C01DF1"/>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670C79"/>
    <w:pPr>
      <w:keepNext/>
      <w:spacing w:before="120" w:after="120" w:line="360" w:lineRule="auto"/>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C79"/>
    <w:rPr>
      <w:rFonts w:ascii="Times New Roman" w:eastAsia="Times New Roman" w:hAnsi="Times New Roman" w:cs="Times New Roman"/>
      <w:sz w:val="28"/>
      <w:szCs w:val="24"/>
      <w:lang w:val="ro-RO"/>
    </w:rPr>
  </w:style>
  <w:style w:type="character" w:customStyle="1" w:styleId="Heading2Char">
    <w:name w:val="Heading 2 Char"/>
    <w:basedOn w:val="DefaultParagraphFont"/>
    <w:link w:val="Heading2"/>
    <w:rsid w:val="00670C79"/>
    <w:rPr>
      <w:rFonts w:ascii="Times New Roman" w:eastAsia="Times New Roman" w:hAnsi="Times New Roman" w:cs="Times New Roman"/>
      <w:sz w:val="28"/>
      <w:szCs w:val="24"/>
      <w:lang w:val="ro-RO"/>
    </w:rPr>
  </w:style>
  <w:style w:type="character" w:customStyle="1" w:styleId="Heading6Char">
    <w:name w:val="Heading 6 Char"/>
    <w:basedOn w:val="DefaultParagraphFont"/>
    <w:link w:val="Heading6"/>
    <w:rsid w:val="00670C79"/>
    <w:rPr>
      <w:rFonts w:ascii="Times New Roman" w:eastAsia="Times New Roman" w:hAnsi="Times New Roman" w:cs="Times New Roman"/>
      <w:b/>
      <w:sz w:val="28"/>
      <w:szCs w:val="24"/>
      <w:lang w:val="ro-RO"/>
    </w:rPr>
  </w:style>
  <w:style w:type="paragraph" w:styleId="BodyTextIndent2">
    <w:name w:val="Body Text Indent 2"/>
    <w:basedOn w:val="Normal"/>
    <w:link w:val="BodyTextIndent2Char"/>
    <w:semiHidden/>
    <w:rsid w:val="00670C79"/>
    <w:pPr>
      <w:spacing w:before="120" w:after="120" w:line="360" w:lineRule="auto"/>
      <w:ind w:firstLine="357"/>
    </w:pPr>
    <w:rPr>
      <w:b/>
      <w:bCs/>
      <w:sz w:val="28"/>
    </w:rPr>
  </w:style>
  <w:style w:type="character" w:customStyle="1" w:styleId="BodyTextIndent2Char">
    <w:name w:val="Body Text Indent 2 Char"/>
    <w:basedOn w:val="DefaultParagraphFont"/>
    <w:link w:val="BodyTextIndent2"/>
    <w:semiHidden/>
    <w:rsid w:val="00670C79"/>
    <w:rPr>
      <w:rFonts w:ascii="Times New Roman" w:eastAsia="Times New Roman" w:hAnsi="Times New Roman" w:cs="Times New Roman"/>
      <w:b/>
      <w:bCs/>
      <w:sz w:val="28"/>
      <w:szCs w:val="24"/>
      <w:lang w:val="ro-RO"/>
    </w:rPr>
  </w:style>
  <w:style w:type="paragraph" w:styleId="BodyText2">
    <w:name w:val="Body Text 2"/>
    <w:basedOn w:val="Normal"/>
    <w:link w:val="BodyText2Char"/>
    <w:semiHidden/>
    <w:rsid w:val="00670C79"/>
    <w:pPr>
      <w:jc w:val="both"/>
    </w:pPr>
    <w:rPr>
      <w:sz w:val="28"/>
    </w:rPr>
  </w:style>
  <w:style w:type="character" w:customStyle="1" w:styleId="BodyText2Char">
    <w:name w:val="Body Text 2 Char"/>
    <w:basedOn w:val="DefaultParagraphFont"/>
    <w:link w:val="BodyText2"/>
    <w:semiHidden/>
    <w:rsid w:val="00670C79"/>
    <w:rPr>
      <w:rFonts w:ascii="Times New Roman" w:eastAsia="Times New Roman" w:hAnsi="Times New Roman" w:cs="Times New Roman"/>
      <w:sz w:val="28"/>
      <w:szCs w:val="24"/>
      <w:lang w:val="ro-RO"/>
    </w:rPr>
  </w:style>
  <w:style w:type="paragraph" w:styleId="Title">
    <w:name w:val="Title"/>
    <w:basedOn w:val="Normal"/>
    <w:link w:val="TitleChar"/>
    <w:qFormat/>
    <w:rsid w:val="00670C79"/>
    <w:pPr>
      <w:spacing w:line="360" w:lineRule="auto"/>
      <w:jc w:val="center"/>
    </w:pPr>
    <w:rPr>
      <w:b/>
      <w:sz w:val="32"/>
      <w:szCs w:val="32"/>
    </w:rPr>
  </w:style>
  <w:style w:type="character" w:customStyle="1" w:styleId="TitleChar">
    <w:name w:val="Title Char"/>
    <w:basedOn w:val="DefaultParagraphFont"/>
    <w:link w:val="Title"/>
    <w:rsid w:val="00670C79"/>
    <w:rPr>
      <w:rFonts w:ascii="Times New Roman" w:eastAsia="Times New Roman" w:hAnsi="Times New Roman" w:cs="Times New Roman"/>
      <w:b/>
      <w:sz w:val="32"/>
      <w:szCs w:val="32"/>
      <w:lang w:val="ro-RO"/>
    </w:rPr>
  </w:style>
  <w:style w:type="paragraph" w:styleId="Footer">
    <w:name w:val="footer"/>
    <w:basedOn w:val="Normal"/>
    <w:link w:val="FooterChar"/>
    <w:uiPriority w:val="99"/>
    <w:rsid w:val="00670C79"/>
    <w:pPr>
      <w:tabs>
        <w:tab w:val="center" w:pos="4536"/>
        <w:tab w:val="right" w:pos="9072"/>
      </w:tabs>
    </w:pPr>
  </w:style>
  <w:style w:type="character" w:customStyle="1" w:styleId="FooterChar">
    <w:name w:val="Footer Char"/>
    <w:basedOn w:val="DefaultParagraphFont"/>
    <w:link w:val="Footer"/>
    <w:uiPriority w:val="99"/>
    <w:rsid w:val="00670C79"/>
    <w:rPr>
      <w:rFonts w:ascii="Times New Roman" w:eastAsia="Times New Roman" w:hAnsi="Times New Roman" w:cs="Times New Roman"/>
      <w:sz w:val="24"/>
      <w:szCs w:val="24"/>
      <w:lang w:val="ro-RO"/>
    </w:rPr>
  </w:style>
  <w:style w:type="character" w:styleId="PageNumber">
    <w:name w:val="page number"/>
    <w:basedOn w:val="DefaultParagraphFont"/>
    <w:rsid w:val="00670C79"/>
  </w:style>
  <w:style w:type="table" w:styleId="TableGrid">
    <w:name w:val="Table Grid"/>
    <w:basedOn w:val="TableNormal"/>
    <w:uiPriority w:val="59"/>
    <w:rsid w:val="00670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7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670C79"/>
    <w:rPr>
      <w:rFonts w:ascii="Courier New" w:eastAsia="Times New Roman" w:hAnsi="Courier New" w:cs="Courier New"/>
      <w:sz w:val="20"/>
      <w:szCs w:val="20"/>
      <w:lang w:val="ro-RO" w:eastAsia="ro-RO"/>
    </w:rPr>
  </w:style>
  <w:style w:type="paragraph" w:styleId="NoSpacing">
    <w:name w:val="No Spacing"/>
    <w:link w:val="NoSpacingChar"/>
    <w:qFormat/>
    <w:rsid w:val="00966D02"/>
    <w:pPr>
      <w:spacing w:after="0" w:line="240" w:lineRule="auto"/>
    </w:pPr>
    <w:rPr>
      <w:rFonts w:ascii="Calibri" w:eastAsia="Calibri" w:hAnsi="Calibri" w:cs="Times New Roman"/>
    </w:rPr>
  </w:style>
  <w:style w:type="character" w:customStyle="1" w:styleId="NoSpacingChar">
    <w:name w:val="No Spacing Char"/>
    <w:link w:val="NoSpacing"/>
    <w:locked/>
    <w:rsid w:val="00966D02"/>
    <w:rPr>
      <w:rFonts w:ascii="Calibri" w:eastAsia="Calibri" w:hAnsi="Calibri" w:cs="Times New Roman"/>
    </w:rPr>
  </w:style>
  <w:style w:type="paragraph" w:styleId="BalloonText">
    <w:name w:val="Balloon Text"/>
    <w:basedOn w:val="Normal"/>
    <w:link w:val="BalloonTextChar"/>
    <w:uiPriority w:val="99"/>
    <w:semiHidden/>
    <w:unhideWhenUsed/>
    <w:rsid w:val="00BA4E0F"/>
    <w:rPr>
      <w:rFonts w:ascii="Tahoma" w:hAnsi="Tahoma" w:cs="Tahoma"/>
      <w:sz w:val="16"/>
      <w:szCs w:val="16"/>
    </w:rPr>
  </w:style>
  <w:style w:type="character" w:customStyle="1" w:styleId="BalloonTextChar">
    <w:name w:val="Balloon Text Char"/>
    <w:basedOn w:val="DefaultParagraphFont"/>
    <w:link w:val="BalloonText"/>
    <w:uiPriority w:val="99"/>
    <w:semiHidden/>
    <w:rsid w:val="00BA4E0F"/>
    <w:rPr>
      <w:rFonts w:ascii="Tahoma" w:eastAsia="Times New Roman" w:hAnsi="Tahoma" w:cs="Tahoma"/>
      <w:sz w:val="16"/>
      <w:szCs w:val="16"/>
      <w:lang w:val="ro-RO"/>
    </w:rPr>
  </w:style>
  <w:style w:type="character" w:styleId="CommentReference">
    <w:name w:val="annotation reference"/>
    <w:basedOn w:val="DefaultParagraphFont"/>
    <w:unhideWhenUsed/>
    <w:rsid w:val="00CE7B3A"/>
    <w:rPr>
      <w:sz w:val="16"/>
      <w:szCs w:val="16"/>
    </w:rPr>
  </w:style>
  <w:style w:type="paragraph" w:styleId="CommentText">
    <w:name w:val="annotation text"/>
    <w:basedOn w:val="Normal"/>
    <w:link w:val="CommentTextChar"/>
    <w:uiPriority w:val="99"/>
    <w:unhideWhenUsed/>
    <w:rsid w:val="00CE7B3A"/>
    <w:rPr>
      <w:sz w:val="20"/>
      <w:szCs w:val="20"/>
    </w:rPr>
  </w:style>
  <w:style w:type="character" w:customStyle="1" w:styleId="CommentTextChar">
    <w:name w:val="Comment Text Char"/>
    <w:basedOn w:val="DefaultParagraphFont"/>
    <w:link w:val="CommentText"/>
    <w:uiPriority w:val="99"/>
    <w:rsid w:val="00CE7B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E7B3A"/>
    <w:rPr>
      <w:b/>
      <w:bCs/>
    </w:rPr>
  </w:style>
  <w:style w:type="character" w:customStyle="1" w:styleId="CommentSubjectChar">
    <w:name w:val="Comment Subject Char"/>
    <w:basedOn w:val="CommentTextChar"/>
    <w:link w:val="CommentSubject"/>
    <w:uiPriority w:val="99"/>
    <w:semiHidden/>
    <w:rsid w:val="00CE7B3A"/>
    <w:rPr>
      <w:rFonts w:ascii="Times New Roman" w:eastAsia="Times New Roman" w:hAnsi="Times New Roman" w:cs="Times New Roman"/>
      <w:b/>
      <w:bCs/>
      <w:sz w:val="20"/>
      <w:szCs w:val="20"/>
      <w:lang w:val="ro-RO"/>
    </w:rPr>
  </w:style>
  <w:style w:type="character" w:customStyle="1" w:styleId="Heading3Char">
    <w:name w:val="Heading 3 Char"/>
    <w:basedOn w:val="DefaultParagraphFont"/>
    <w:link w:val="Heading3"/>
    <w:uiPriority w:val="9"/>
    <w:rsid w:val="00C01DF1"/>
    <w:rPr>
      <w:rFonts w:asciiTheme="majorHAnsi" w:eastAsiaTheme="majorEastAsia" w:hAnsiTheme="majorHAnsi" w:cstheme="majorBidi"/>
      <w:b/>
      <w:bCs/>
      <w:color w:val="5B9BD5" w:themeColor="accent1"/>
      <w:sz w:val="24"/>
      <w:szCs w:val="24"/>
      <w:lang w:val="ro-RO"/>
    </w:rPr>
  </w:style>
  <w:style w:type="paragraph" w:styleId="ListParagraph">
    <w:name w:val="List Paragraph"/>
    <w:aliases w:val="Normal bullet 2,List Paragraph1,List1,body 2,List Paragraph11,Listă colorată - Accentuare 11,Bullet,Citation List,Forth level"/>
    <w:basedOn w:val="Normal"/>
    <w:link w:val="ListParagraphChar"/>
    <w:uiPriority w:val="34"/>
    <w:qFormat/>
    <w:rsid w:val="00CD681E"/>
    <w:pPr>
      <w:ind w:left="720"/>
      <w:contextualSpacing/>
    </w:pPr>
    <w:rPr>
      <w:rFonts w:asciiTheme="minorHAnsi" w:eastAsiaTheme="minorHAnsi" w:hAnsiTheme="minorHAnsi" w:cstheme="minorBidi"/>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
    <w:link w:val="ListParagraph"/>
    <w:uiPriority w:val="99"/>
    <w:locked/>
    <w:rsid w:val="009B71DC"/>
    <w:rPr>
      <w:sz w:val="24"/>
      <w:szCs w:val="24"/>
      <w:lang w:val="ro-RO"/>
    </w:rPr>
  </w:style>
  <w:style w:type="character" w:customStyle="1" w:styleId="ColorfulList-Accent1Char">
    <w:name w:val="Colorful List - Accent 1 Char"/>
    <w:link w:val="ColorfulList-Accent1"/>
    <w:uiPriority w:val="34"/>
    <w:locked/>
    <w:rsid w:val="009B71DC"/>
    <w:rPr>
      <w:noProof/>
      <w:sz w:val="24"/>
      <w:szCs w:val="24"/>
      <w:lang w:val="ro-RO"/>
    </w:rPr>
  </w:style>
  <w:style w:type="table" w:styleId="ColorfulList-Accent1">
    <w:name w:val="Colorful List Accent 1"/>
    <w:basedOn w:val="TableNormal"/>
    <w:link w:val="ColorfulList-Accent1Char"/>
    <w:uiPriority w:val="34"/>
    <w:rsid w:val="009B71DC"/>
    <w:pPr>
      <w:spacing w:after="0" w:line="240" w:lineRule="auto"/>
    </w:pPr>
    <w:rPr>
      <w:noProof/>
      <w:sz w:val="24"/>
      <w:szCs w:val="24"/>
      <w:lang w:val="ro-RO"/>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BA47F0"/>
    <w:pPr>
      <w:tabs>
        <w:tab w:val="center" w:pos="4536"/>
        <w:tab w:val="right" w:pos="9072"/>
      </w:tabs>
    </w:pPr>
  </w:style>
  <w:style w:type="character" w:customStyle="1" w:styleId="HeaderChar">
    <w:name w:val="Header Char"/>
    <w:basedOn w:val="DefaultParagraphFont"/>
    <w:link w:val="Header"/>
    <w:uiPriority w:val="99"/>
    <w:rsid w:val="00BA47F0"/>
    <w:rPr>
      <w:rFonts w:ascii="Times New Roman" w:eastAsia="Times New Roman" w:hAnsi="Times New Roman" w:cs="Times New Roman"/>
      <w:sz w:val="24"/>
      <w:szCs w:val="24"/>
      <w:lang w:val="ro-RO"/>
    </w:rPr>
  </w:style>
  <w:style w:type="character" w:customStyle="1" w:styleId="panchor">
    <w:name w:val="panchor"/>
    <w:basedOn w:val="DefaultParagraphFont"/>
    <w:rsid w:val="00161A61"/>
  </w:style>
  <w:style w:type="character" w:styleId="Hyperlink">
    <w:name w:val="Hyperlink"/>
    <w:basedOn w:val="DefaultParagraphFont"/>
    <w:uiPriority w:val="99"/>
    <w:unhideWhenUsed/>
    <w:rsid w:val="001B7961"/>
    <w:rPr>
      <w:color w:val="0000FF"/>
      <w:u w:val="single"/>
    </w:rPr>
  </w:style>
  <w:style w:type="character" w:customStyle="1" w:styleId="slgi">
    <w:name w:val="s_lgi"/>
    <w:basedOn w:val="DefaultParagraphFont"/>
    <w:rsid w:val="00EF067B"/>
  </w:style>
  <w:style w:type="paragraph" w:styleId="Revision">
    <w:name w:val="Revision"/>
    <w:hidden/>
    <w:uiPriority w:val="99"/>
    <w:semiHidden/>
    <w:rsid w:val="00E51892"/>
    <w:pPr>
      <w:spacing w:after="0" w:line="240" w:lineRule="auto"/>
    </w:pPr>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59"/>
    <w:rsid w:val="00357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561EC"/>
    <w:rPr>
      <w:color w:val="605E5C"/>
      <w:shd w:val="clear" w:color="auto" w:fill="E1DFDD"/>
    </w:rPr>
  </w:style>
  <w:style w:type="paragraph" w:customStyle="1" w:styleId="Default">
    <w:name w:val="Default"/>
    <w:rsid w:val="00406B07"/>
    <w:pPr>
      <w:autoSpaceDE w:val="0"/>
      <w:autoSpaceDN w:val="0"/>
      <w:adjustRightInd w:val="0"/>
      <w:spacing w:after="0" w:line="240" w:lineRule="auto"/>
    </w:pPr>
    <w:rPr>
      <w:rFonts w:ascii="EUAlbertina" w:hAnsi="EUAlbertina" w:cs="EUAlbertina"/>
      <w:color w:val="000000"/>
      <w:sz w:val="24"/>
      <w:szCs w:val="24"/>
    </w:rPr>
  </w:style>
  <w:style w:type="paragraph" w:styleId="BodyTextIndent">
    <w:name w:val="Body Text Indent"/>
    <w:basedOn w:val="Normal"/>
    <w:link w:val="BodyTextIndentChar"/>
    <w:uiPriority w:val="99"/>
    <w:semiHidden/>
    <w:unhideWhenUsed/>
    <w:rsid w:val="00646C74"/>
    <w:pPr>
      <w:spacing w:after="120"/>
      <w:ind w:left="283"/>
    </w:pPr>
  </w:style>
  <w:style w:type="character" w:customStyle="1" w:styleId="BodyTextIndentChar">
    <w:name w:val="Body Text Indent Char"/>
    <w:basedOn w:val="DefaultParagraphFont"/>
    <w:link w:val="BodyTextIndent"/>
    <w:uiPriority w:val="99"/>
    <w:semiHidden/>
    <w:rsid w:val="00646C74"/>
    <w:rPr>
      <w:rFonts w:ascii="Times New Roman" w:eastAsia="Times New Roman" w:hAnsi="Times New Roman" w:cs="Times New Roman"/>
      <w:sz w:val="24"/>
      <w:szCs w:val="24"/>
      <w:lang w:val="ro-RO"/>
    </w:rPr>
  </w:style>
  <w:style w:type="paragraph" w:styleId="NormalWeb">
    <w:name w:val="Normal (Web)"/>
    <w:basedOn w:val="Normal"/>
    <w:uiPriority w:val="99"/>
    <w:semiHidden/>
    <w:unhideWhenUsed/>
    <w:rsid w:val="00E84B9D"/>
    <w:pPr>
      <w:spacing w:before="100" w:beforeAutospacing="1" w:after="100" w:afterAutospacing="1"/>
    </w:pPr>
    <w:rPr>
      <w:rFonts w:eastAsiaTheme="minorHAns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3571">
      <w:bodyDiv w:val="1"/>
      <w:marLeft w:val="0"/>
      <w:marRight w:val="0"/>
      <w:marTop w:val="0"/>
      <w:marBottom w:val="0"/>
      <w:divBdr>
        <w:top w:val="none" w:sz="0" w:space="0" w:color="auto"/>
        <w:left w:val="none" w:sz="0" w:space="0" w:color="auto"/>
        <w:bottom w:val="none" w:sz="0" w:space="0" w:color="auto"/>
        <w:right w:val="none" w:sz="0" w:space="0" w:color="auto"/>
      </w:divBdr>
    </w:div>
    <w:div w:id="163595865">
      <w:bodyDiv w:val="1"/>
      <w:marLeft w:val="0"/>
      <w:marRight w:val="0"/>
      <w:marTop w:val="0"/>
      <w:marBottom w:val="0"/>
      <w:divBdr>
        <w:top w:val="none" w:sz="0" w:space="0" w:color="auto"/>
        <w:left w:val="none" w:sz="0" w:space="0" w:color="auto"/>
        <w:bottom w:val="none" w:sz="0" w:space="0" w:color="auto"/>
        <w:right w:val="none" w:sz="0" w:space="0" w:color="auto"/>
      </w:divBdr>
    </w:div>
    <w:div w:id="168638186">
      <w:bodyDiv w:val="1"/>
      <w:marLeft w:val="0"/>
      <w:marRight w:val="0"/>
      <w:marTop w:val="0"/>
      <w:marBottom w:val="0"/>
      <w:divBdr>
        <w:top w:val="none" w:sz="0" w:space="0" w:color="auto"/>
        <w:left w:val="none" w:sz="0" w:space="0" w:color="auto"/>
        <w:bottom w:val="none" w:sz="0" w:space="0" w:color="auto"/>
        <w:right w:val="none" w:sz="0" w:space="0" w:color="auto"/>
      </w:divBdr>
    </w:div>
    <w:div w:id="186409884">
      <w:bodyDiv w:val="1"/>
      <w:marLeft w:val="0"/>
      <w:marRight w:val="0"/>
      <w:marTop w:val="0"/>
      <w:marBottom w:val="0"/>
      <w:divBdr>
        <w:top w:val="none" w:sz="0" w:space="0" w:color="auto"/>
        <w:left w:val="none" w:sz="0" w:space="0" w:color="auto"/>
        <w:bottom w:val="none" w:sz="0" w:space="0" w:color="auto"/>
        <w:right w:val="none" w:sz="0" w:space="0" w:color="auto"/>
      </w:divBdr>
    </w:div>
    <w:div w:id="191697561">
      <w:bodyDiv w:val="1"/>
      <w:marLeft w:val="0"/>
      <w:marRight w:val="0"/>
      <w:marTop w:val="0"/>
      <w:marBottom w:val="0"/>
      <w:divBdr>
        <w:top w:val="none" w:sz="0" w:space="0" w:color="auto"/>
        <w:left w:val="none" w:sz="0" w:space="0" w:color="auto"/>
        <w:bottom w:val="none" w:sz="0" w:space="0" w:color="auto"/>
        <w:right w:val="none" w:sz="0" w:space="0" w:color="auto"/>
      </w:divBdr>
    </w:div>
    <w:div w:id="196622305">
      <w:bodyDiv w:val="1"/>
      <w:marLeft w:val="0"/>
      <w:marRight w:val="0"/>
      <w:marTop w:val="0"/>
      <w:marBottom w:val="0"/>
      <w:divBdr>
        <w:top w:val="none" w:sz="0" w:space="0" w:color="auto"/>
        <w:left w:val="none" w:sz="0" w:space="0" w:color="auto"/>
        <w:bottom w:val="none" w:sz="0" w:space="0" w:color="auto"/>
        <w:right w:val="none" w:sz="0" w:space="0" w:color="auto"/>
      </w:divBdr>
    </w:div>
    <w:div w:id="264387125">
      <w:bodyDiv w:val="1"/>
      <w:marLeft w:val="0"/>
      <w:marRight w:val="0"/>
      <w:marTop w:val="0"/>
      <w:marBottom w:val="0"/>
      <w:divBdr>
        <w:top w:val="none" w:sz="0" w:space="0" w:color="auto"/>
        <w:left w:val="none" w:sz="0" w:space="0" w:color="auto"/>
        <w:bottom w:val="none" w:sz="0" w:space="0" w:color="auto"/>
        <w:right w:val="none" w:sz="0" w:space="0" w:color="auto"/>
      </w:divBdr>
    </w:div>
    <w:div w:id="274027299">
      <w:bodyDiv w:val="1"/>
      <w:marLeft w:val="0"/>
      <w:marRight w:val="0"/>
      <w:marTop w:val="0"/>
      <w:marBottom w:val="0"/>
      <w:divBdr>
        <w:top w:val="none" w:sz="0" w:space="0" w:color="auto"/>
        <w:left w:val="none" w:sz="0" w:space="0" w:color="auto"/>
        <w:bottom w:val="none" w:sz="0" w:space="0" w:color="auto"/>
        <w:right w:val="none" w:sz="0" w:space="0" w:color="auto"/>
      </w:divBdr>
    </w:div>
    <w:div w:id="341670646">
      <w:bodyDiv w:val="1"/>
      <w:marLeft w:val="0"/>
      <w:marRight w:val="0"/>
      <w:marTop w:val="0"/>
      <w:marBottom w:val="0"/>
      <w:divBdr>
        <w:top w:val="none" w:sz="0" w:space="0" w:color="auto"/>
        <w:left w:val="none" w:sz="0" w:space="0" w:color="auto"/>
        <w:bottom w:val="none" w:sz="0" w:space="0" w:color="auto"/>
        <w:right w:val="none" w:sz="0" w:space="0" w:color="auto"/>
      </w:divBdr>
    </w:div>
    <w:div w:id="373122914">
      <w:bodyDiv w:val="1"/>
      <w:marLeft w:val="0"/>
      <w:marRight w:val="0"/>
      <w:marTop w:val="0"/>
      <w:marBottom w:val="0"/>
      <w:divBdr>
        <w:top w:val="none" w:sz="0" w:space="0" w:color="auto"/>
        <w:left w:val="none" w:sz="0" w:space="0" w:color="auto"/>
        <w:bottom w:val="none" w:sz="0" w:space="0" w:color="auto"/>
        <w:right w:val="none" w:sz="0" w:space="0" w:color="auto"/>
      </w:divBdr>
    </w:div>
    <w:div w:id="398329692">
      <w:bodyDiv w:val="1"/>
      <w:marLeft w:val="0"/>
      <w:marRight w:val="0"/>
      <w:marTop w:val="0"/>
      <w:marBottom w:val="0"/>
      <w:divBdr>
        <w:top w:val="none" w:sz="0" w:space="0" w:color="auto"/>
        <w:left w:val="none" w:sz="0" w:space="0" w:color="auto"/>
        <w:bottom w:val="none" w:sz="0" w:space="0" w:color="auto"/>
        <w:right w:val="none" w:sz="0" w:space="0" w:color="auto"/>
      </w:divBdr>
    </w:div>
    <w:div w:id="435490971">
      <w:bodyDiv w:val="1"/>
      <w:marLeft w:val="0"/>
      <w:marRight w:val="0"/>
      <w:marTop w:val="0"/>
      <w:marBottom w:val="0"/>
      <w:divBdr>
        <w:top w:val="none" w:sz="0" w:space="0" w:color="auto"/>
        <w:left w:val="none" w:sz="0" w:space="0" w:color="auto"/>
        <w:bottom w:val="none" w:sz="0" w:space="0" w:color="auto"/>
        <w:right w:val="none" w:sz="0" w:space="0" w:color="auto"/>
      </w:divBdr>
    </w:div>
    <w:div w:id="454641938">
      <w:bodyDiv w:val="1"/>
      <w:marLeft w:val="0"/>
      <w:marRight w:val="0"/>
      <w:marTop w:val="0"/>
      <w:marBottom w:val="0"/>
      <w:divBdr>
        <w:top w:val="none" w:sz="0" w:space="0" w:color="auto"/>
        <w:left w:val="none" w:sz="0" w:space="0" w:color="auto"/>
        <w:bottom w:val="none" w:sz="0" w:space="0" w:color="auto"/>
        <w:right w:val="none" w:sz="0" w:space="0" w:color="auto"/>
      </w:divBdr>
    </w:div>
    <w:div w:id="472066420">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648753987">
      <w:bodyDiv w:val="1"/>
      <w:marLeft w:val="0"/>
      <w:marRight w:val="0"/>
      <w:marTop w:val="0"/>
      <w:marBottom w:val="0"/>
      <w:divBdr>
        <w:top w:val="none" w:sz="0" w:space="0" w:color="auto"/>
        <w:left w:val="none" w:sz="0" w:space="0" w:color="auto"/>
        <w:bottom w:val="none" w:sz="0" w:space="0" w:color="auto"/>
        <w:right w:val="none" w:sz="0" w:space="0" w:color="auto"/>
      </w:divBdr>
    </w:div>
    <w:div w:id="655841619">
      <w:bodyDiv w:val="1"/>
      <w:marLeft w:val="0"/>
      <w:marRight w:val="0"/>
      <w:marTop w:val="0"/>
      <w:marBottom w:val="0"/>
      <w:divBdr>
        <w:top w:val="none" w:sz="0" w:space="0" w:color="auto"/>
        <w:left w:val="none" w:sz="0" w:space="0" w:color="auto"/>
        <w:bottom w:val="none" w:sz="0" w:space="0" w:color="auto"/>
        <w:right w:val="none" w:sz="0" w:space="0" w:color="auto"/>
      </w:divBdr>
    </w:div>
    <w:div w:id="724794826">
      <w:bodyDiv w:val="1"/>
      <w:marLeft w:val="0"/>
      <w:marRight w:val="0"/>
      <w:marTop w:val="0"/>
      <w:marBottom w:val="0"/>
      <w:divBdr>
        <w:top w:val="none" w:sz="0" w:space="0" w:color="auto"/>
        <w:left w:val="none" w:sz="0" w:space="0" w:color="auto"/>
        <w:bottom w:val="none" w:sz="0" w:space="0" w:color="auto"/>
        <w:right w:val="none" w:sz="0" w:space="0" w:color="auto"/>
      </w:divBdr>
    </w:div>
    <w:div w:id="821700759">
      <w:bodyDiv w:val="1"/>
      <w:marLeft w:val="0"/>
      <w:marRight w:val="0"/>
      <w:marTop w:val="0"/>
      <w:marBottom w:val="0"/>
      <w:divBdr>
        <w:top w:val="none" w:sz="0" w:space="0" w:color="auto"/>
        <w:left w:val="none" w:sz="0" w:space="0" w:color="auto"/>
        <w:bottom w:val="none" w:sz="0" w:space="0" w:color="auto"/>
        <w:right w:val="none" w:sz="0" w:space="0" w:color="auto"/>
      </w:divBdr>
    </w:div>
    <w:div w:id="1022050013">
      <w:bodyDiv w:val="1"/>
      <w:marLeft w:val="0"/>
      <w:marRight w:val="0"/>
      <w:marTop w:val="0"/>
      <w:marBottom w:val="0"/>
      <w:divBdr>
        <w:top w:val="none" w:sz="0" w:space="0" w:color="auto"/>
        <w:left w:val="none" w:sz="0" w:space="0" w:color="auto"/>
        <w:bottom w:val="none" w:sz="0" w:space="0" w:color="auto"/>
        <w:right w:val="none" w:sz="0" w:space="0" w:color="auto"/>
      </w:divBdr>
    </w:div>
    <w:div w:id="1069763157">
      <w:bodyDiv w:val="1"/>
      <w:marLeft w:val="0"/>
      <w:marRight w:val="0"/>
      <w:marTop w:val="0"/>
      <w:marBottom w:val="0"/>
      <w:divBdr>
        <w:top w:val="none" w:sz="0" w:space="0" w:color="auto"/>
        <w:left w:val="none" w:sz="0" w:space="0" w:color="auto"/>
        <w:bottom w:val="none" w:sz="0" w:space="0" w:color="auto"/>
        <w:right w:val="none" w:sz="0" w:space="0" w:color="auto"/>
      </w:divBdr>
    </w:div>
    <w:div w:id="1102190792">
      <w:bodyDiv w:val="1"/>
      <w:marLeft w:val="0"/>
      <w:marRight w:val="0"/>
      <w:marTop w:val="0"/>
      <w:marBottom w:val="0"/>
      <w:divBdr>
        <w:top w:val="none" w:sz="0" w:space="0" w:color="auto"/>
        <w:left w:val="none" w:sz="0" w:space="0" w:color="auto"/>
        <w:bottom w:val="none" w:sz="0" w:space="0" w:color="auto"/>
        <w:right w:val="none" w:sz="0" w:space="0" w:color="auto"/>
      </w:divBdr>
    </w:div>
    <w:div w:id="1114708165">
      <w:bodyDiv w:val="1"/>
      <w:marLeft w:val="0"/>
      <w:marRight w:val="0"/>
      <w:marTop w:val="0"/>
      <w:marBottom w:val="0"/>
      <w:divBdr>
        <w:top w:val="none" w:sz="0" w:space="0" w:color="auto"/>
        <w:left w:val="none" w:sz="0" w:space="0" w:color="auto"/>
        <w:bottom w:val="none" w:sz="0" w:space="0" w:color="auto"/>
        <w:right w:val="none" w:sz="0" w:space="0" w:color="auto"/>
      </w:divBdr>
    </w:div>
    <w:div w:id="1135099875">
      <w:bodyDiv w:val="1"/>
      <w:marLeft w:val="0"/>
      <w:marRight w:val="0"/>
      <w:marTop w:val="0"/>
      <w:marBottom w:val="0"/>
      <w:divBdr>
        <w:top w:val="none" w:sz="0" w:space="0" w:color="auto"/>
        <w:left w:val="none" w:sz="0" w:space="0" w:color="auto"/>
        <w:bottom w:val="none" w:sz="0" w:space="0" w:color="auto"/>
        <w:right w:val="none" w:sz="0" w:space="0" w:color="auto"/>
      </w:divBdr>
    </w:div>
    <w:div w:id="1137842082">
      <w:bodyDiv w:val="1"/>
      <w:marLeft w:val="0"/>
      <w:marRight w:val="0"/>
      <w:marTop w:val="0"/>
      <w:marBottom w:val="0"/>
      <w:divBdr>
        <w:top w:val="none" w:sz="0" w:space="0" w:color="auto"/>
        <w:left w:val="none" w:sz="0" w:space="0" w:color="auto"/>
        <w:bottom w:val="none" w:sz="0" w:space="0" w:color="auto"/>
        <w:right w:val="none" w:sz="0" w:space="0" w:color="auto"/>
      </w:divBdr>
    </w:div>
    <w:div w:id="1302812629">
      <w:bodyDiv w:val="1"/>
      <w:marLeft w:val="0"/>
      <w:marRight w:val="0"/>
      <w:marTop w:val="0"/>
      <w:marBottom w:val="0"/>
      <w:divBdr>
        <w:top w:val="none" w:sz="0" w:space="0" w:color="auto"/>
        <w:left w:val="none" w:sz="0" w:space="0" w:color="auto"/>
        <w:bottom w:val="none" w:sz="0" w:space="0" w:color="auto"/>
        <w:right w:val="none" w:sz="0" w:space="0" w:color="auto"/>
      </w:divBdr>
    </w:div>
    <w:div w:id="1327518847">
      <w:bodyDiv w:val="1"/>
      <w:marLeft w:val="0"/>
      <w:marRight w:val="0"/>
      <w:marTop w:val="0"/>
      <w:marBottom w:val="0"/>
      <w:divBdr>
        <w:top w:val="none" w:sz="0" w:space="0" w:color="auto"/>
        <w:left w:val="none" w:sz="0" w:space="0" w:color="auto"/>
        <w:bottom w:val="none" w:sz="0" w:space="0" w:color="auto"/>
        <w:right w:val="none" w:sz="0" w:space="0" w:color="auto"/>
      </w:divBdr>
    </w:div>
    <w:div w:id="1413354410">
      <w:bodyDiv w:val="1"/>
      <w:marLeft w:val="0"/>
      <w:marRight w:val="0"/>
      <w:marTop w:val="0"/>
      <w:marBottom w:val="0"/>
      <w:divBdr>
        <w:top w:val="none" w:sz="0" w:space="0" w:color="auto"/>
        <w:left w:val="none" w:sz="0" w:space="0" w:color="auto"/>
        <w:bottom w:val="none" w:sz="0" w:space="0" w:color="auto"/>
        <w:right w:val="none" w:sz="0" w:space="0" w:color="auto"/>
      </w:divBdr>
    </w:div>
    <w:div w:id="1442217109">
      <w:bodyDiv w:val="1"/>
      <w:marLeft w:val="0"/>
      <w:marRight w:val="0"/>
      <w:marTop w:val="0"/>
      <w:marBottom w:val="0"/>
      <w:divBdr>
        <w:top w:val="none" w:sz="0" w:space="0" w:color="auto"/>
        <w:left w:val="none" w:sz="0" w:space="0" w:color="auto"/>
        <w:bottom w:val="none" w:sz="0" w:space="0" w:color="auto"/>
        <w:right w:val="none" w:sz="0" w:space="0" w:color="auto"/>
      </w:divBdr>
    </w:div>
    <w:div w:id="1453747675">
      <w:bodyDiv w:val="1"/>
      <w:marLeft w:val="0"/>
      <w:marRight w:val="0"/>
      <w:marTop w:val="0"/>
      <w:marBottom w:val="0"/>
      <w:divBdr>
        <w:top w:val="none" w:sz="0" w:space="0" w:color="auto"/>
        <w:left w:val="none" w:sz="0" w:space="0" w:color="auto"/>
        <w:bottom w:val="none" w:sz="0" w:space="0" w:color="auto"/>
        <w:right w:val="none" w:sz="0" w:space="0" w:color="auto"/>
      </w:divBdr>
      <w:divsChild>
        <w:div w:id="1445542025">
          <w:marLeft w:val="0"/>
          <w:marRight w:val="0"/>
          <w:marTop w:val="0"/>
          <w:marBottom w:val="0"/>
          <w:divBdr>
            <w:top w:val="none" w:sz="0" w:space="0" w:color="auto"/>
            <w:left w:val="none" w:sz="0" w:space="0" w:color="auto"/>
            <w:bottom w:val="none" w:sz="0" w:space="0" w:color="auto"/>
            <w:right w:val="none" w:sz="0" w:space="0" w:color="auto"/>
          </w:divBdr>
        </w:div>
        <w:div w:id="765805363">
          <w:marLeft w:val="0"/>
          <w:marRight w:val="0"/>
          <w:marTop w:val="0"/>
          <w:marBottom w:val="0"/>
          <w:divBdr>
            <w:top w:val="none" w:sz="0" w:space="0" w:color="auto"/>
            <w:left w:val="none" w:sz="0" w:space="0" w:color="auto"/>
            <w:bottom w:val="none" w:sz="0" w:space="0" w:color="auto"/>
            <w:right w:val="none" w:sz="0" w:space="0" w:color="auto"/>
          </w:divBdr>
        </w:div>
        <w:div w:id="1668820048">
          <w:marLeft w:val="0"/>
          <w:marRight w:val="0"/>
          <w:marTop w:val="0"/>
          <w:marBottom w:val="0"/>
          <w:divBdr>
            <w:top w:val="none" w:sz="0" w:space="0" w:color="auto"/>
            <w:left w:val="none" w:sz="0" w:space="0" w:color="auto"/>
            <w:bottom w:val="none" w:sz="0" w:space="0" w:color="auto"/>
            <w:right w:val="none" w:sz="0" w:space="0" w:color="auto"/>
          </w:divBdr>
        </w:div>
        <w:div w:id="1096287470">
          <w:marLeft w:val="0"/>
          <w:marRight w:val="0"/>
          <w:marTop w:val="0"/>
          <w:marBottom w:val="0"/>
          <w:divBdr>
            <w:top w:val="none" w:sz="0" w:space="0" w:color="auto"/>
            <w:left w:val="none" w:sz="0" w:space="0" w:color="auto"/>
            <w:bottom w:val="none" w:sz="0" w:space="0" w:color="auto"/>
            <w:right w:val="none" w:sz="0" w:space="0" w:color="auto"/>
          </w:divBdr>
        </w:div>
        <w:div w:id="676856999">
          <w:marLeft w:val="0"/>
          <w:marRight w:val="0"/>
          <w:marTop w:val="0"/>
          <w:marBottom w:val="0"/>
          <w:divBdr>
            <w:top w:val="none" w:sz="0" w:space="0" w:color="auto"/>
            <w:left w:val="none" w:sz="0" w:space="0" w:color="auto"/>
            <w:bottom w:val="none" w:sz="0" w:space="0" w:color="auto"/>
            <w:right w:val="none" w:sz="0" w:space="0" w:color="auto"/>
          </w:divBdr>
        </w:div>
        <w:div w:id="206258032">
          <w:marLeft w:val="0"/>
          <w:marRight w:val="0"/>
          <w:marTop w:val="0"/>
          <w:marBottom w:val="0"/>
          <w:divBdr>
            <w:top w:val="none" w:sz="0" w:space="0" w:color="auto"/>
            <w:left w:val="none" w:sz="0" w:space="0" w:color="auto"/>
            <w:bottom w:val="none" w:sz="0" w:space="0" w:color="auto"/>
            <w:right w:val="none" w:sz="0" w:space="0" w:color="auto"/>
          </w:divBdr>
        </w:div>
      </w:divsChild>
    </w:div>
    <w:div w:id="1470589820">
      <w:bodyDiv w:val="1"/>
      <w:marLeft w:val="0"/>
      <w:marRight w:val="0"/>
      <w:marTop w:val="0"/>
      <w:marBottom w:val="0"/>
      <w:divBdr>
        <w:top w:val="none" w:sz="0" w:space="0" w:color="auto"/>
        <w:left w:val="none" w:sz="0" w:space="0" w:color="auto"/>
        <w:bottom w:val="none" w:sz="0" w:space="0" w:color="auto"/>
        <w:right w:val="none" w:sz="0" w:space="0" w:color="auto"/>
      </w:divBdr>
    </w:div>
    <w:div w:id="1484353612">
      <w:bodyDiv w:val="1"/>
      <w:marLeft w:val="0"/>
      <w:marRight w:val="0"/>
      <w:marTop w:val="0"/>
      <w:marBottom w:val="0"/>
      <w:divBdr>
        <w:top w:val="none" w:sz="0" w:space="0" w:color="auto"/>
        <w:left w:val="none" w:sz="0" w:space="0" w:color="auto"/>
        <w:bottom w:val="none" w:sz="0" w:space="0" w:color="auto"/>
        <w:right w:val="none" w:sz="0" w:space="0" w:color="auto"/>
      </w:divBdr>
    </w:div>
    <w:div w:id="1487282297">
      <w:bodyDiv w:val="1"/>
      <w:marLeft w:val="0"/>
      <w:marRight w:val="0"/>
      <w:marTop w:val="0"/>
      <w:marBottom w:val="0"/>
      <w:divBdr>
        <w:top w:val="none" w:sz="0" w:space="0" w:color="auto"/>
        <w:left w:val="none" w:sz="0" w:space="0" w:color="auto"/>
        <w:bottom w:val="none" w:sz="0" w:space="0" w:color="auto"/>
        <w:right w:val="none" w:sz="0" w:space="0" w:color="auto"/>
      </w:divBdr>
    </w:div>
    <w:div w:id="1576210594">
      <w:bodyDiv w:val="1"/>
      <w:marLeft w:val="0"/>
      <w:marRight w:val="0"/>
      <w:marTop w:val="0"/>
      <w:marBottom w:val="0"/>
      <w:divBdr>
        <w:top w:val="none" w:sz="0" w:space="0" w:color="auto"/>
        <w:left w:val="none" w:sz="0" w:space="0" w:color="auto"/>
        <w:bottom w:val="none" w:sz="0" w:space="0" w:color="auto"/>
        <w:right w:val="none" w:sz="0" w:space="0" w:color="auto"/>
      </w:divBdr>
    </w:div>
    <w:div w:id="1603996462">
      <w:bodyDiv w:val="1"/>
      <w:marLeft w:val="0"/>
      <w:marRight w:val="0"/>
      <w:marTop w:val="0"/>
      <w:marBottom w:val="0"/>
      <w:divBdr>
        <w:top w:val="none" w:sz="0" w:space="0" w:color="auto"/>
        <w:left w:val="none" w:sz="0" w:space="0" w:color="auto"/>
        <w:bottom w:val="none" w:sz="0" w:space="0" w:color="auto"/>
        <w:right w:val="none" w:sz="0" w:space="0" w:color="auto"/>
      </w:divBdr>
    </w:div>
    <w:div w:id="1623031635">
      <w:bodyDiv w:val="1"/>
      <w:marLeft w:val="0"/>
      <w:marRight w:val="0"/>
      <w:marTop w:val="0"/>
      <w:marBottom w:val="0"/>
      <w:divBdr>
        <w:top w:val="none" w:sz="0" w:space="0" w:color="auto"/>
        <w:left w:val="none" w:sz="0" w:space="0" w:color="auto"/>
        <w:bottom w:val="none" w:sz="0" w:space="0" w:color="auto"/>
        <w:right w:val="none" w:sz="0" w:space="0" w:color="auto"/>
      </w:divBdr>
    </w:div>
    <w:div w:id="1659847536">
      <w:bodyDiv w:val="1"/>
      <w:marLeft w:val="0"/>
      <w:marRight w:val="0"/>
      <w:marTop w:val="0"/>
      <w:marBottom w:val="0"/>
      <w:divBdr>
        <w:top w:val="none" w:sz="0" w:space="0" w:color="auto"/>
        <w:left w:val="none" w:sz="0" w:space="0" w:color="auto"/>
        <w:bottom w:val="none" w:sz="0" w:space="0" w:color="auto"/>
        <w:right w:val="none" w:sz="0" w:space="0" w:color="auto"/>
      </w:divBdr>
    </w:div>
    <w:div w:id="1678727019">
      <w:bodyDiv w:val="1"/>
      <w:marLeft w:val="0"/>
      <w:marRight w:val="0"/>
      <w:marTop w:val="0"/>
      <w:marBottom w:val="0"/>
      <w:divBdr>
        <w:top w:val="none" w:sz="0" w:space="0" w:color="auto"/>
        <w:left w:val="none" w:sz="0" w:space="0" w:color="auto"/>
        <w:bottom w:val="none" w:sz="0" w:space="0" w:color="auto"/>
        <w:right w:val="none" w:sz="0" w:space="0" w:color="auto"/>
      </w:divBdr>
    </w:div>
    <w:div w:id="1678927333">
      <w:bodyDiv w:val="1"/>
      <w:marLeft w:val="0"/>
      <w:marRight w:val="0"/>
      <w:marTop w:val="0"/>
      <w:marBottom w:val="0"/>
      <w:divBdr>
        <w:top w:val="none" w:sz="0" w:space="0" w:color="auto"/>
        <w:left w:val="none" w:sz="0" w:space="0" w:color="auto"/>
        <w:bottom w:val="none" w:sz="0" w:space="0" w:color="auto"/>
        <w:right w:val="none" w:sz="0" w:space="0" w:color="auto"/>
      </w:divBdr>
    </w:div>
    <w:div w:id="1700545194">
      <w:bodyDiv w:val="1"/>
      <w:marLeft w:val="0"/>
      <w:marRight w:val="0"/>
      <w:marTop w:val="0"/>
      <w:marBottom w:val="0"/>
      <w:divBdr>
        <w:top w:val="none" w:sz="0" w:space="0" w:color="auto"/>
        <w:left w:val="none" w:sz="0" w:space="0" w:color="auto"/>
        <w:bottom w:val="none" w:sz="0" w:space="0" w:color="auto"/>
        <w:right w:val="none" w:sz="0" w:space="0" w:color="auto"/>
      </w:divBdr>
    </w:div>
    <w:div w:id="1772241865">
      <w:bodyDiv w:val="1"/>
      <w:marLeft w:val="0"/>
      <w:marRight w:val="0"/>
      <w:marTop w:val="0"/>
      <w:marBottom w:val="0"/>
      <w:divBdr>
        <w:top w:val="none" w:sz="0" w:space="0" w:color="auto"/>
        <w:left w:val="none" w:sz="0" w:space="0" w:color="auto"/>
        <w:bottom w:val="none" w:sz="0" w:space="0" w:color="auto"/>
        <w:right w:val="none" w:sz="0" w:space="0" w:color="auto"/>
      </w:divBdr>
    </w:div>
    <w:div w:id="1821916945">
      <w:bodyDiv w:val="1"/>
      <w:marLeft w:val="0"/>
      <w:marRight w:val="0"/>
      <w:marTop w:val="0"/>
      <w:marBottom w:val="0"/>
      <w:divBdr>
        <w:top w:val="none" w:sz="0" w:space="0" w:color="auto"/>
        <w:left w:val="none" w:sz="0" w:space="0" w:color="auto"/>
        <w:bottom w:val="none" w:sz="0" w:space="0" w:color="auto"/>
        <w:right w:val="none" w:sz="0" w:space="0" w:color="auto"/>
      </w:divBdr>
    </w:div>
    <w:div w:id="1845515503">
      <w:bodyDiv w:val="1"/>
      <w:marLeft w:val="0"/>
      <w:marRight w:val="0"/>
      <w:marTop w:val="0"/>
      <w:marBottom w:val="0"/>
      <w:divBdr>
        <w:top w:val="none" w:sz="0" w:space="0" w:color="auto"/>
        <w:left w:val="none" w:sz="0" w:space="0" w:color="auto"/>
        <w:bottom w:val="none" w:sz="0" w:space="0" w:color="auto"/>
        <w:right w:val="none" w:sz="0" w:space="0" w:color="auto"/>
      </w:divBdr>
    </w:div>
    <w:div w:id="1915048623">
      <w:bodyDiv w:val="1"/>
      <w:marLeft w:val="0"/>
      <w:marRight w:val="0"/>
      <w:marTop w:val="0"/>
      <w:marBottom w:val="0"/>
      <w:divBdr>
        <w:top w:val="none" w:sz="0" w:space="0" w:color="auto"/>
        <w:left w:val="none" w:sz="0" w:space="0" w:color="auto"/>
        <w:bottom w:val="none" w:sz="0" w:space="0" w:color="auto"/>
        <w:right w:val="none" w:sz="0" w:space="0" w:color="auto"/>
      </w:divBdr>
    </w:div>
    <w:div w:id="2040546317">
      <w:bodyDiv w:val="1"/>
      <w:marLeft w:val="0"/>
      <w:marRight w:val="0"/>
      <w:marTop w:val="0"/>
      <w:marBottom w:val="0"/>
      <w:divBdr>
        <w:top w:val="none" w:sz="0" w:space="0" w:color="auto"/>
        <w:left w:val="none" w:sz="0" w:space="0" w:color="auto"/>
        <w:bottom w:val="none" w:sz="0" w:space="0" w:color="auto"/>
        <w:right w:val="none" w:sz="0" w:space="0" w:color="auto"/>
      </w:divBdr>
    </w:div>
    <w:div w:id="20734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AE709-A477-409C-9632-E5EDAFF9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6133</Words>
  <Characters>34961</Characters>
  <Application>Microsoft Office Word</Application>
  <DocSecurity>0</DocSecurity>
  <Lines>291</Lines>
  <Paragraphs>82</Paragraphs>
  <ScaleCrop>false</ScaleCrop>
  <HeadingPairs>
    <vt:vector size="6" baseType="variant">
      <vt:variant>
        <vt:lpstr>Title</vt:lpstr>
      </vt:variant>
      <vt:variant>
        <vt:i4>1</vt:i4>
      </vt:variant>
      <vt:variant>
        <vt:lpstr>Titlu</vt:lpstr>
      </vt:variant>
      <vt:variant>
        <vt:i4>1</vt:i4>
      </vt:variant>
      <vt:variant>
        <vt:lpstr>Titluri</vt:lpstr>
      </vt:variant>
      <vt:variant>
        <vt:i4>1</vt:i4>
      </vt:variant>
    </vt:vector>
  </HeadingPairs>
  <TitlesOfParts>
    <vt:vector size="3" baseType="lpstr">
      <vt:lpstr/>
      <vt:lpstr/>
      <vt:lpstr>        </vt:lpstr>
    </vt:vector>
  </TitlesOfParts>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IULIANA-MIHAELA CERNAZEANU</dc:creator>
  <cp:lastModifiedBy>Consuela Stegarescu</cp:lastModifiedBy>
  <cp:revision>6</cp:revision>
  <cp:lastPrinted>2022-07-06T14:23:00Z</cp:lastPrinted>
  <dcterms:created xsi:type="dcterms:W3CDTF">2022-07-06T14:11:00Z</dcterms:created>
  <dcterms:modified xsi:type="dcterms:W3CDTF">2022-07-06T16:01:00Z</dcterms:modified>
</cp:coreProperties>
</file>